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F7500" w14:textId="77777777" w:rsidR="00646424" w:rsidRDefault="00646424" w:rsidP="00B17774">
      <w:pPr>
        <w:pStyle w:val="Baseparagraphcentred"/>
      </w:pPr>
    </w:p>
    <w:p w14:paraId="65F502B3" w14:textId="77777777" w:rsidR="00646424" w:rsidRDefault="00646424" w:rsidP="00B17774">
      <w:pPr>
        <w:pStyle w:val="Baseparagraphcentred"/>
      </w:pPr>
    </w:p>
    <w:p w14:paraId="64E355BB" w14:textId="77777777" w:rsidR="00646424" w:rsidRDefault="00646424" w:rsidP="00B17774">
      <w:pPr>
        <w:pStyle w:val="Baseparagraphcentred"/>
      </w:pPr>
    </w:p>
    <w:p w14:paraId="4FD3A9B1" w14:textId="77777777" w:rsidR="00646424" w:rsidRDefault="00646424" w:rsidP="00B17774">
      <w:pPr>
        <w:pStyle w:val="Baseparagraphcentred"/>
      </w:pPr>
    </w:p>
    <w:p w14:paraId="2D9AD75F" w14:textId="77777777" w:rsidR="00646424" w:rsidRDefault="00646424" w:rsidP="00B17774">
      <w:pPr>
        <w:pStyle w:val="Baseparagraphcentred"/>
      </w:pPr>
    </w:p>
    <w:p w14:paraId="5ED4F084" w14:textId="77777777" w:rsidR="00646424" w:rsidRDefault="00646424" w:rsidP="00B17774">
      <w:pPr>
        <w:pStyle w:val="Baseparagraphcentred"/>
      </w:pPr>
    </w:p>
    <w:p w14:paraId="2ABBF23A" w14:textId="77777777" w:rsidR="00646424" w:rsidRDefault="00646424" w:rsidP="00B17774">
      <w:pPr>
        <w:pStyle w:val="Baseparagraphcentred"/>
      </w:pPr>
    </w:p>
    <w:p w14:paraId="5BA2E542" w14:textId="77777777" w:rsidR="00646424" w:rsidRDefault="00646424" w:rsidP="00B17774">
      <w:pPr>
        <w:pStyle w:val="Baseparagraphcentred"/>
      </w:pPr>
    </w:p>
    <w:p w14:paraId="050058B1" w14:textId="0E9A9716" w:rsidR="00B17774" w:rsidRDefault="00B17774" w:rsidP="00B17774">
      <w:pPr>
        <w:pStyle w:val="Baseparagraphcentred"/>
      </w:pPr>
    </w:p>
    <w:p w14:paraId="79572556" w14:textId="77777777" w:rsidR="00B17774" w:rsidRDefault="00B17774" w:rsidP="00B17774">
      <w:pPr>
        <w:pStyle w:val="Baseparagraphcentred"/>
      </w:pPr>
    </w:p>
    <w:p w14:paraId="61371DF0" w14:textId="10188559" w:rsidR="0016134B" w:rsidRPr="00BF3D02" w:rsidRDefault="00DA53CB" w:rsidP="0016134B">
      <w:pPr>
        <w:pStyle w:val="BillName"/>
      </w:pPr>
      <w:bookmarkStart w:id="0" w:name="BillName"/>
      <w:bookmarkEnd w:id="0"/>
      <w:r>
        <w:t>Treasury Laws A</w:t>
      </w:r>
      <w:r w:rsidR="0016134B" w:rsidRPr="00BF3D02">
        <w:t>mendment (</w:t>
      </w:r>
      <w:r>
        <w:t>C</w:t>
      </w:r>
      <w:r w:rsidR="0016134B">
        <w:t xml:space="preserve">orporate </w:t>
      </w:r>
      <w:r>
        <w:t>C</w:t>
      </w:r>
      <w:r w:rsidR="0016134B" w:rsidRPr="00BF3D02">
        <w:t xml:space="preserve">ollective </w:t>
      </w:r>
      <w:r>
        <w:t>I</w:t>
      </w:r>
      <w:r w:rsidR="0016134B" w:rsidRPr="00BF3D02">
        <w:t>nvestmen</w:t>
      </w:r>
      <w:r>
        <w:t>t Vehicle) B</w:t>
      </w:r>
      <w:r w:rsidR="0016134B" w:rsidRPr="00BF3D02">
        <w:t>ill</w:t>
      </w:r>
      <w:r w:rsidR="0016134B">
        <w:t xml:space="preserve"> 2018: </w:t>
      </w:r>
      <w:r>
        <w:t>Tax T</w:t>
      </w:r>
      <w:r w:rsidR="0016134B" w:rsidRPr="00BF3D02">
        <w:t>reatment</w:t>
      </w:r>
    </w:p>
    <w:p w14:paraId="7FDAE344" w14:textId="77777777" w:rsidR="00B17774" w:rsidRDefault="00B17774" w:rsidP="00B17774">
      <w:pPr>
        <w:pStyle w:val="Baseparagraphcentred"/>
      </w:pPr>
    </w:p>
    <w:p w14:paraId="0B4DAAD5" w14:textId="77777777" w:rsidR="00B17774" w:rsidRDefault="00B17774" w:rsidP="00B17774">
      <w:pPr>
        <w:pStyle w:val="Baseparagraphcentred"/>
      </w:pPr>
    </w:p>
    <w:p w14:paraId="3D9F5BE9" w14:textId="77777777" w:rsidR="00B17774" w:rsidRDefault="00B17774" w:rsidP="00B17774">
      <w:pPr>
        <w:pStyle w:val="Baseparagraphcentred"/>
      </w:pPr>
    </w:p>
    <w:p w14:paraId="2595CBC5" w14:textId="77777777" w:rsidR="00B17774" w:rsidRDefault="00B17774" w:rsidP="00B17774">
      <w:pPr>
        <w:pStyle w:val="Baseparagraphcentred"/>
      </w:pPr>
    </w:p>
    <w:p w14:paraId="7BA817CC" w14:textId="77777777" w:rsidR="00646424" w:rsidRDefault="00646424" w:rsidP="00B17774">
      <w:pPr>
        <w:pStyle w:val="Baseparagraphcentred"/>
      </w:pPr>
      <w:r>
        <w:t>EXPOSURE DRAFT EXPLANATORY MATERIALS</w:t>
      </w:r>
    </w:p>
    <w:p w14:paraId="4CC98A7F" w14:textId="66DE5D24" w:rsidR="00B17774" w:rsidRDefault="00B17774" w:rsidP="00B17774">
      <w:pPr>
        <w:pStyle w:val="Baseparagraphcentred"/>
      </w:pPr>
    </w:p>
    <w:p w14:paraId="6AD2F823" w14:textId="77777777" w:rsidR="00B17774" w:rsidRDefault="00B17774" w:rsidP="00B17774">
      <w:pPr>
        <w:pStyle w:val="Baseparagraphcentred"/>
      </w:pPr>
    </w:p>
    <w:p w14:paraId="3A8633ED" w14:textId="77777777" w:rsidR="00B17774" w:rsidRDefault="00B17774" w:rsidP="00B17774">
      <w:pPr>
        <w:pStyle w:val="Baseparagraphcentred"/>
      </w:pPr>
    </w:p>
    <w:p w14:paraId="27C78CA7" w14:textId="77777777" w:rsidR="00646424" w:rsidRDefault="00646424" w:rsidP="00773B68">
      <w:pPr>
        <w:pStyle w:val="ParaCentredNoSpacing"/>
      </w:pPr>
    </w:p>
    <w:p w14:paraId="246D9744" w14:textId="77777777" w:rsidR="00646424" w:rsidRDefault="00646424" w:rsidP="00773B68">
      <w:pPr>
        <w:pStyle w:val="ParaCentredNoSpacing"/>
      </w:pPr>
    </w:p>
    <w:p w14:paraId="122F3780" w14:textId="214663C1" w:rsidR="00773B68" w:rsidRDefault="00773B68" w:rsidP="00773B68">
      <w:pPr>
        <w:pStyle w:val="ParaCentredNoSpacing"/>
      </w:pPr>
    </w:p>
    <w:p w14:paraId="3870F03C" w14:textId="77777777" w:rsidR="00B17774" w:rsidRDefault="00B17774" w:rsidP="00B17774"/>
    <w:p w14:paraId="5FBCF341" w14:textId="77777777" w:rsidR="00813A51" w:rsidRDefault="00813A51" w:rsidP="00B17774">
      <w:pPr>
        <w:sectPr w:rsidR="00813A51" w:rsidSect="00E74E50">
          <w:headerReference w:type="even" r:id="rId14"/>
          <w:headerReference w:type="default" r:id="rId15"/>
          <w:footerReference w:type="even" r:id="rId16"/>
          <w:footerReference w:type="default" r:id="rId17"/>
          <w:headerReference w:type="first" r:id="rId18"/>
          <w:pgSz w:w="9979" w:h="14175" w:code="13"/>
          <w:pgMar w:top="567" w:right="1134" w:bottom="567" w:left="1134" w:header="709" w:footer="709" w:gutter="0"/>
          <w:cols w:space="708"/>
          <w:titlePg/>
          <w:docGrid w:linePitch="360"/>
        </w:sectPr>
      </w:pPr>
    </w:p>
    <w:p w14:paraId="6ECCED10" w14:textId="77777777" w:rsidR="00B17774" w:rsidRPr="003E0794" w:rsidRDefault="00B17774" w:rsidP="00B17774">
      <w:pPr>
        <w:pStyle w:val="TOCHeading"/>
      </w:pPr>
      <w:r w:rsidRPr="003E0794">
        <w:lastRenderedPageBreak/>
        <w:t>Table of contents</w:t>
      </w:r>
    </w:p>
    <w:p w14:paraId="0B5C462E" w14:textId="77777777" w:rsidR="00FD678C" w:rsidRDefault="00734F84">
      <w:pPr>
        <w:pStyle w:val="TOC2"/>
        <w:rPr>
          <w:rFonts w:asciiTheme="minorHAnsi" w:eastAsiaTheme="minorEastAsia" w:hAnsiTheme="minorHAnsi" w:cstheme="minorBidi"/>
          <w:sz w:val="22"/>
          <w:szCs w:val="22"/>
        </w:rPr>
      </w:pPr>
      <w:r>
        <w:fldChar w:fldCharType="begin"/>
      </w:r>
      <w:r>
        <w:instrText xml:space="preserve"> TOC \t "Chapter Heading,1,Chapter heading subdocument,2" </w:instrText>
      </w:r>
      <w:r>
        <w:fldChar w:fldCharType="separate"/>
      </w:r>
      <w:r w:rsidR="00FD678C">
        <w:t>Glossary</w:t>
      </w:r>
      <w:r w:rsidR="00FD678C">
        <w:tab/>
      </w:r>
      <w:r w:rsidR="00FD678C">
        <w:fldChar w:fldCharType="begin"/>
      </w:r>
      <w:r w:rsidR="00FD678C">
        <w:instrText xml:space="preserve"> PAGEREF _Toc535241264 \h </w:instrText>
      </w:r>
      <w:r w:rsidR="00FD678C">
        <w:fldChar w:fldCharType="separate"/>
      </w:r>
      <w:r w:rsidR="00AE76D9">
        <w:t>1</w:t>
      </w:r>
      <w:r w:rsidR="00FD678C">
        <w:fldChar w:fldCharType="end"/>
      </w:r>
    </w:p>
    <w:p w14:paraId="6DFD0164" w14:textId="77777777" w:rsidR="00FD678C" w:rsidRDefault="00FD678C">
      <w:pPr>
        <w:pStyle w:val="TOC1"/>
        <w:rPr>
          <w:rFonts w:asciiTheme="minorHAnsi" w:eastAsiaTheme="minorEastAsia" w:hAnsiTheme="minorHAnsi" w:cstheme="minorBidi"/>
          <w:noProof/>
          <w:sz w:val="22"/>
          <w:szCs w:val="22"/>
        </w:rPr>
      </w:pPr>
      <w:r>
        <w:rPr>
          <w:noProof/>
        </w:rPr>
        <w:t>Chapter 1</w:t>
      </w:r>
      <w:r>
        <w:rPr>
          <w:rFonts w:asciiTheme="minorHAnsi" w:eastAsiaTheme="minorEastAsia" w:hAnsiTheme="minorHAnsi" w:cstheme="minorBidi"/>
          <w:noProof/>
          <w:sz w:val="22"/>
          <w:szCs w:val="22"/>
        </w:rPr>
        <w:tab/>
      </w:r>
      <w:r>
        <w:rPr>
          <w:noProof/>
        </w:rPr>
        <w:t>Tax treatment of corporate collective investment vehicles</w:t>
      </w:r>
      <w:r>
        <w:rPr>
          <w:noProof/>
        </w:rPr>
        <w:tab/>
      </w:r>
      <w:r>
        <w:rPr>
          <w:noProof/>
        </w:rPr>
        <w:fldChar w:fldCharType="begin"/>
      </w:r>
      <w:r>
        <w:rPr>
          <w:noProof/>
        </w:rPr>
        <w:instrText xml:space="preserve"> PAGEREF _Toc535241265 \h </w:instrText>
      </w:r>
      <w:r>
        <w:rPr>
          <w:noProof/>
        </w:rPr>
      </w:r>
      <w:r>
        <w:rPr>
          <w:noProof/>
        </w:rPr>
        <w:fldChar w:fldCharType="separate"/>
      </w:r>
      <w:r w:rsidR="00AE76D9">
        <w:rPr>
          <w:noProof/>
        </w:rPr>
        <w:t>3</w:t>
      </w:r>
      <w:r>
        <w:rPr>
          <w:noProof/>
        </w:rPr>
        <w:fldChar w:fldCharType="end"/>
      </w:r>
    </w:p>
    <w:p w14:paraId="66610E3E" w14:textId="77777777" w:rsidR="00E5385B" w:rsidRDefault="00734F84" w:rsidP="00295ABD">
      <w:pPr>
        <w:rPr>
          <w:rFonts w:ascii="Helvetica" w:hAnsi="Helvetica"/>
          <w:noProof/>
          <w:sz w:val="24"/>
        </w:rPr>
      </w:pPr>
      <w:r>
        <w:rPr>
          <w:rFonts w:ascii="Helvetica" w:hAnsi="Helvetica"/>
          <w:noProof/>
          <w:sz w:val="24"/>
        </w:rPr>
        <w:fldChar w:fldCharType="end"/>
      </w:r>
    </w:p>
    <w:p w14:paraId="346C5D5B" w14:textId="77777777" w:rsidR="00B17774" w:rsidRDefault="00B17774" w:rsidP="00B17774">
      <w:pPr>
        <w:pStyle w:val="Hiddentext"/>
      </w:pPr>
      <w:bookmarkStart w:id="1" w:name="_GoBack"/>
      <w:bookmarkEnd w:id="1"/>
    </w:p>
    <w:p w14:paraId="3C463710" w14:textId="77777777" w:rsidR="00B17774" w:rsidRDefault="00B17774" w:rsidP="00B17774">
      <w:pPr>
        <w:pStyle w:val="base-text-paragraphnonumbers"/>
        <w:sectPr w:rsidR="00B17774" w:rsidSect="00E74E50">
          <w:headerReference w:type="even" r:id="rId19"/>
          <w:headerReference w:type="default" r:id="rId20"/>
          <w:footerReference w:type="even" r:id="rId21"/>
          <w:footerReference w:type="default" r:id="rId22"/>
          <w:headerReference w:type="first" r:id="rId23"/>
          <w:footerReference w:type="first" r:id="rId24"/>
          <w:type w:val="oddPage"/>
          <w:pgSz w:w="9979" w:h="14175" w:code="9"/>
          <w:pgMar w:top="567" w:right="1134" w:bottom="567" w:left="1134" w:header="709" w:footer="709" w:gutter="0"/>
          <w:cols w:space="708"/>
          <w:titlePg/>
          <w:docGrid w:linePitch="360"/>
        </w:sectPr>
      </w:pPr>
    </w:p>
    <w:p w14:paraId="6CBB33D5" w14:textId="77777777" w:rsidR="00B17774" w:rsidRPr="00567602" w:rsidRDefault="00B17774" w:rsidP="00567602">
      <w:pPr>
        <w:pStyle w:val="Chapterheadingsubdocument"/>
      </w:pPr>
      <w:bookmarkStart w:id="2" w:name="_Toc535241264"/>
      <w:r w:rsidRPr="00567602">
        <w:rPr>
          <w:rStyle w:val="ChapterNameOnly"/>
        </w:rPr>
        <w:lastRenderedPageBreak/>
        <w:t>Glossary</w:t>
      </w:r>
      <w:bookmarkEnd w:id="2"/>
    </w:p>
    <w:p w14:paraId="64C0561B" w14:textId="77777777" w:rsidR="00B17774" w:rsidRDefault="00B17774" w:rsidP="00B17774">
      <w:pPr>
        <w:pStyle w:val="BTPwithextraspacing"/>
      </w:pPr>
      <w:r>
        <w:t>The following abbreviations and acronyms are used throughout this explanatory memorandum.</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1"/>
        <w:gridCol w:w="3885"/>
      </w:tblGrid>
      <w:tr w:rsidR="00B17774" w:rsidRPr="00123D96" w14:paraId="1D423D5A" w14:textId="77777777" w:rsidTr="0016134B">
        <w:tc>
          <w:tcPr>
            <w:tcW w:w="2721" w:type="dxa"/>
          </w:tcPr>
          <w:p w14:paraId="41B44105" w14:textId="77777777" w:rsidR="00B17774" w:rsidRPr="00123D96" w:rsidRDefault="00B17774" w:rsidP="0016134B">
            <w:pPr>
              <w:pStyle w:val="tableheaderwithintable"/>
            </w:pPr>
            <w:r w:rsidRPr="00123D96">
              <w:t>Abbreviation</w:t>
            </w:r>
          </w:p>
        </w:tc>
        <w:tc>
          <w:tcPr>
            <w:tcW w:w="3885" w:type="dxa"/>
          </w:tcPr>
          <w:p w14:paraId="3B2F3648" w14:textId="77777777" w:rsidR="00B17774" w:rsidRPr="00123D96" w:rsidRDefault="00B17774" w:rsidP="0016134B">
            <w:pPr>
              <w:pStyle w:val="tableheaderwithintable"/>
            </w:pPr>
            <w:r w:rsidRPr="00123D96">
              <w:t>Definition</w:t>
            </w:r>
          </w:p>
        </w:tc>
      </w:tr>
      <w:tr w:rsidR="005B1540" w:rsidRPr="002C43E8" w14:paraId="6B3DFEAD" w14:textId="77777777" w:rsidTr="0016134B">
        <w:tc>
          <w:tcPr>
            <w:tcW w:w="2721" w:type="dxa"/>
          </w:tcPr>
          <w:p w14:paraId="3C01DA14" w14:textId="769EEF77" w:rsidR="005B1540" w:rsidRDefault="005B1540" w:rsidP="00C711BC">
            <w:pPr>
              <w:pStyle w:val="Glossarytabletext"/>
            </w:pPr>
            <w:r>
              <w:t>ABN</w:t>
            </w:r>
          </w:p>
        </w:tc>
        <w:tc>
          <w:tcPr>
            <w:tcW w:w="3885" w:type="dxa"/>
          </w:tcPr>
          <w:p w14:paraId="2E1809D5" w14:textId="766B637A" w:rsidR="005B1540" w:rsidRDefault="005B1540" w:rsidP="00C711BC">
            <w:pPr>
              <w:pStyle w:val="Glossarytabletext"/>
            </w:pPr>
            <w:r>
              <w:t>Australian business number</w:t>
            </w:r>
          </w:p>
        </w:tc>
      </w:tr>
      <w:tr w:rsidR="009F7748" w:rsidRPr="002C43E8" w14:paraId="6008F1A9" w14:textId="77777777" w:rsidTr="0016134B">
        <w:tc>
          <w:tcPr>
            <w:tcW w:w="2721" w:type="dxa"/>
          </w:tcPr>
          <w:p w14:paraId="2F40E577" w14:textId="13F9FD05" w:rsidR="009F7748" w:rsidRDefault="009F7748" w:rsidP="00C711BC">
            <w:pPr>
              <w:pStyle w:val="Glossarytabletext"/>
            </w:pPr>
            <w:r>
              <w:t xml:space="preserve">ABN Act </w:t>
            </w:r>
          </w:p>
        </w:tc>
        <w:tc>
          <w:tcPr>
            <w:tcW w:w="3885" w:type="dxa"/>
          </w:tcPr>
          <w:p w14:paraId="67AFD846" w14:textId="5D11A9C4" w:rsidR="009F7748" w:rsidRPr="009F7748" w:rsidRDefault="009F7748" w:rsidP="00C711BC">
            <w:pPr>
              <w:pStyle w:val="Glossarytabletext"/>
              <w:rPr>
                <w:i/>
              </w:rPr>
            </w:pPr>
            <w:r w:rsidRPr="009F7748">
              <w:rPr>
                <w:i/>
              </w:rPr>
              <w:t xml:space="preserve">A </w:t>
            </w:r>
            <w:r w:rsidR="00046BA0" w:rsidRPr="009F7748">
              <w:rPr>
                <w:i/>
              </w:rPr>
              <w:t>New Tax System</w:t>
            </w:r>
            <w:r w:rsidRPr="009F7748">
              <w:rPr>
                <w:i/>
              </w:rPr>
              <w:t xml:space="preserve"> (Australian Business Number) Act 1999</w:t>
            </w:r>
          </w:p>
        </w:tc>
      </w:tr>
      <w:tr w:rsidR="00E74476" w:rsidRPr="002C43E8" w14:paraId="126A294A" w14:textId="77777777" w:rsidTr="0016134B">
        <w:tc>
          <w:tcPr>
            <w:tcW w:w="2721" w:type="dxa"/>
          </w:tcPr>
          <w:p w14:paraId="0C2D87EE" w14:textId="6227F98C" w:rsidR="00E74476" w:rsidRDefault="00E74476" w:rsidP="00C711BC">
            <w:pPr>
              <w:pStyle w:val="Glossarytabletext"/>
            </w:pPr>
            <w:r>
              <w:t>AIV</w:t>
            </w:r>
          </w:p>
        </w:tc>
        <w:tc>
          <w:tcPr>
            <w:tcW w:w="3885" w:type="dxa"/>
          </w:tcPr>
          <w:p w14:paraId="49C47FDD" w14:textId="3595F180" w:rsidR="00E74476" w:rsidRDefault="00E74476" w:rsidP="00C711BC">
            <w:pPr>
              <w:pStyle w:val="Glossarytabletext"/>
            </w:pPr>
            <w:r>
              <w:t>Attribution investment vehicle</w:t>
            </w:r>
          </w:p>
        </w:tc>
      </w:tr>
      <w:tr w:rsidR="0016134B" w:rsidRPr="002C43E8" w14:paraId="3BA170B6" w14:textId="77777777" w:rsidTr="0016134B">
        <w:tc>
          <w:tcPr>
            <w:tcW w:w="2721" w:type="dxa"/>
          </w:tcPr>
          <w:p w14:paraId="5B716717" w14:textId="56181340" w:rsidR="0016134B" w:rsidRPr="002C43E8" w:rsidRDefault="0016134B" w:rsidP="00C711BC">
            <w:pPr>
              <w:pStyle w:val="Glossarytabletext"/>
              <w:rPr>
                <w:lang w:val="en-US" w:eastAsia="en-US"/>
              </w:rPr>
            </w:pPr>
            <w:bookmarkStart w:id="3" w:name="GlossaryTableStart"/>
            <w:bookmarkEnd w:id="3"/>
            <w:r>
              <w:t>AIV</w:t>
            </w:r>
            <w:r w:rsidRPr="00C2086D">
              <w:t>MA</w:t>
            </w:r>
            <w:r w:rsidR="00C711BC">
              <w:t xml:space="preserve"> </w:t>
            </w:r>
            <w:r w:rsidRPr="00C2086D">
              <w:t>statement</w:t>
            </w:r>
          </w:p>
        </w:tc>
        <w:tc>
          <w:tcPr>
            <w:tcW w:w="3885" w:type="dxa"/>
          </w:tcPr>
          <w:p w14:paraId="288CC655" w14:textId="17EA8ECC" w:rsidR="0016134B" w:rsidRPr="002C43E8" w:rsidRDefault="0016134B" w:rsidP="00C711BC">
            <w:pPr>
              <w:pStyle w:val="Glossarytabletext"/>
              <w:rPr>
                <w:lang w:val="en-US" w:eastAsia="en-US"/>
              </w:rPr>
            </w:pPr>
            <w:r>
              <w:t xml:space="preserve">AIV member annual </w:t>
            </w:r>
            <w:r w:rsidRPr="00C2086D">
              <w:t>statement</w:t>
            </w:r>
          </w:p>
        </w:tc>
      </w:tr>
      <w:tr w:rsidR="0016134B" w:rsidRPr="002C43E8" w14:paraId="4314ED0E" w14:textId="77777777" w:rsidTr="0016134B">
        <w:tc>
          <w:tcPr>
            <w:tcW w:w="2721" w:type="dxa"/>
          </w:tcPr>
          <w:p w14:paraId="3B6DDB0C" w14:textId="082FAF5E" w:rsidR="0016134B" w:rsidRPr="002C43E8" w:rsidRDefault="0016134B" w:rsidP="0016134B">
            <w:pPr>
              <w:pStyle w:val="Glossarytabletext"/>
              <w:rPr>
                <w:lang w:val="en-US" w:eastAsia="en-US"/>
              </w:rPr>
            </w:pPr>
            <w:r w:rsidRPr="00C42F91">
              <w:rPr>
                <w:lang w:eastAsia="en-US"/>
              </w:rPr>
              <w:t>AMIT</w:t>
            </w:r>
          </w:p>
        </w:tc>
        <w:tc>
          <w:tcPr>
            <w:tcW w:w="3885" w:type="dxa"/>
          </w:tcPr>
          <w:p w14:paraId="0079288A" w14:textId="2867591B" w:rsidR="0016134B" w:rsidRPr="002C43E8" w:rsidRDefault="0016134B" w:rsidP="0016134B">
            <w:pPr>
              <w:pStyle w:val="Glossarytabletext"/>
              <w:rPr>
                <w:lang w:val="en-US" w:eastAsia="en-US"/>
              </w:rPr>
            </w:pPr>
            <w:r w:rsidRPr="00C42F91">
              <w:rPr>
                <w:lang w:eastAsia="en-US"/>
              </w:rPr>
              <w:t>attribution managed investment trust</w:t>
            </w:r>
          </w:p>
        </w:tc>
      </w:tr>
      <w:tr w:rsidR="0016134B" w:rsidRPr="002C43E8" w14:paraId="7119E12F" w14:textId="77777777" w:rsidTr="0016134B">
        <w:tc>
          <w:tcPr>
            <w:tcW w:w="2721" w:type="dxa"/>
          </w:tcPr>
          <w:p w14:paraId="14D71166" w14:textId="1FD21DE1" w:rsidR="0016134B" w:rsidRPr="002C43E8" w:rsidRDefault="0016134B" w:rsidP="0016134B">
            <w:pPr>
              <w:pStyle w:val="Glossarytabletext"/>
              <w:rPr>
                <w:lang w:val="en-US" w:eastAsia="en-US"/>
              </w:rPr>
            </w:pPr>
            <w:r>
              <w:rPr>
                <w:lang w:eastAsia="en-US"/>
              </w:rPr>
              <w:t xml:space="preserve">AMMA statement </w:t>
            </w:r>
          </w:p>
        </w:tc>
        <w:tc>
          <w:tcPr>
            <w:tcW w:w="3885" w:type="dxa"/>
          </w:tcPr>
          <w:p w14:paraId="19C336CC" w14:textId="5B49A9B2" w:rsidR="0016134B" w:rsidRPr="002C43E8" w:rsidRDefault="00184051" w:rsidP="0016134B">
            <w:pPr>
              <w:pStyle w:val="Glossarytabletext"/>
              <w:rPr>
                <w:lang w:val="en-US" w:eastAsia="en-US"/>
              </w:rPr>
            </w:pPr>
            <w:r>
              <w:rPr>
                <w:lang w:eastAsia="en-US"/>
              </w:rPr>
              <w:t>AMIT member annual s</w:t>
            </w:r>
            <w:r w:rsidR="0016134B">
              <w:rPr>
                <w:lang w:eastAsia="en-US"/>
              </w:rPr>
              <w:t>tatement</w:t>
            </w:r>
          </w:p>
        </w:tc>
      </w:tr>
      <w:tr w:rsidR="00E74476" w:rsidRPr="002C43E8" w14:paraId="53CB16B5" w14:textId="77777777" w:rsidTr="0016134B">
        <w:tc>
          <w:tcPr>
            <w:tcW w:w="2721" w:type="dxa"/>
          </w:tcPr>
          <w:p w14:paraId="16D4E27C" w14:textId="34FE94DB" w:rsidR="00E74476" w:rsidRDefault="00E74476" w:rsidP="0016134B">
            <w:pPr>
              <w:pStyle w:val="Glossarytabletext"/>
              <w:rPr>
                <w:lang w:eastAsia="en-US"/>
              </w:rPr>
            </w:pPr>
            <w:r w:rsidRPr="00C42F91">
              <w:rPr>
                <w:lang w:eastAsia="en-US"/>
              </w:rPr>
              <w:t>A</w:t>
            </w:r>
            <w:r>
              <w:rPr>
                <w:lang w:eastAsia="en-US"/>
              </w:rPr>
              <w:t>SF</w:t>
            </w:r>
          </w:p>
        </w:tc>
        <w:tc>
          <w:tcPr>
            <w:tcW w:w="3885" w:type="dxa"/>
          </w:tcPr>
          <w:p w14:paraId="00017AA7" w14:textId="7EC05EB7" w:rsidR="00E74476" w:rsidRDefault="00E74476" w:rsidP="0016134B">
            <w:pPr>
              <w:pStyle w:val="Glossarytabletext"/>
              <w:rPr>
                <w:lang w:eastAsia="en-US"/>
              </w:rPr>
            </w:pPr>
            <w:r w:rsidRPr="00C42F91">
              <w:rPr>
                <w:lang w:eastAsia="en-US"/>
              </w:rPr>
              <w:t xml:space="preserve">attribution </w:t>
            </w:r>
            <w:r>
              <w:rPr>
                <w:lang w:eastAsia="en-US"/>
              </w:rPr>
              <w:t>sub-fund</w:t>
            </w:r>
          </w:p>
        </w:tc>
      </w:tr>
      <w:tr w:rsidR="00E74476" w:rsidRPr="002C43E8" w14:paraId="6118EFAE" w14:textId="77777777" w:rsidTr="0016134B">
        <w:tc>
          <w:tcPr>
            <w:tcW w:w="2721" w:type="dxa"/>
          </w:tcPr>
          <w:p w14:paraId="60C59838" w14:textId="4C07F719" w:rsidR="00E74476" w:rsidRDefault="00E74476" w:rsidP="0016134B">
            <w:pPr>
              <w:pStyle w:val="Glossarytabletext"/>
              <w:rPr>
                <w:lang w:eastAsia="en-US"/>
              </w:rPr>
            </w:pPr>
            <w:r w:rsidRPr="00C42F91">
              <w:rPr>
                <w:lang w:eastAsia="en-US"/>
              </w:rPr>
              <w:t>CCIV</w:t>
            </w:r>
          </w:p>
        </w:tc>
        <w:tc>
          <w:tcPr>
            <w:tcW w:w="3885" w:type="dxa"/>
          </w:tcPr>
          <w:p w14:paraId="176D8F23" w14:textId="3A1B7FF0" w:rsidR="00E74476" w:rsidRPr="00C42F91" w:rsidRDefault="00E74476" w:rsidP="0016134B">
            <w:pPr>
              <w:pStyle w:val="Glossarytabletext"/>
              <w:rPr>
                <w:lang w:eastAsia="en-US"/>
              </w:rPr>
            </w:pPr>
            <w:r w:rsidRPr="00C42F91">
              <w:rPr>
                <w:lang w:eastAsia="en-US"/>
              </w:rPr>
              <w:t>corporate collective investment vehicle</w:t>
            </w:r>
          </w:p>
        </w:tc>
      </w:tr>
      <w:tr w:rsidR="00E74476" w:rsidRPr="002C43E8" w14:paraId="7893D70A" w14:textId="77777777" w:rsidTr="0016134B">
        <w:tc>
          <w:tcPr>
            <w:tcW w:w="2721" w:type="dxa"/>
          </w:tcPr>
          <w:p w14:paraId="08E0C74E" w14:textId="1D6C5133" w:rsidR="00E74476" w:rsidRPr="002C43E8" w:rsidRDefault="00E74476" w:rsidP="0016134B">
            <w:pPr>
              <w:pStyle w:val="Glossarytabletext"/>
              <w:rPr>
                <w:lang w:val="en-US" w:eastAsia="en-US"/>
              </w:rPr>
            </w:pPr>
            <w:r>
              <w:rPr>
                <w:lang w:eastAsia="en-US"/>
              </w:rPr>
              <w:t xml:space="preserve">CGT </w:t>
            </w:r>
          </w:p>
        </w:tc>
        <w:tc>
          <w:tcPr>
            <w:tcW w:w="3885" w:type="dxa"/>
          </w:tcPr>
          <w:p w14:paraId="324ABF26" w14:textId="5237D8F8" w:rsidR="00E74476" w:rsidRPr="002C43E8" w:rsidRDefault="00046BA0" w:rsidP="0016134B">
            <w:pPr>
              <w:pStyle w:val="Glossarytabletext"/>
              <w:rPr>
                <w:lang w:val="en-US" w:eastAsia="en-US"/>
              </w:rPr>
            </w:pPr>
            <w:r>
              <w:rPr>
                <w:lang w:eastAsia="en-US"/>
              </w:rPr>
              <w:t>capital gains tax</w:t>
            </w:r>
          </w:p>
        </w:tc>
      </w:tr>
      <w:tr w:rsidR="00E74476" w:rsidRPr="002C43E8" w14:paraId="097DE66A" w14:textId="77777777" w:rsidTr="0016134B">
        <w:tc>
          <w:tcPr>
            <w:tcW w:w="2721" w:type="dxa"/>
          </w:tcPr>
          <w:p w14:paraId="10542813" w14:textId="451B0475" w:rsidR="00E74476" w:rsidRPr="002C43E8" w:rsidRDefault="00E74476" w:rsidP="0016134B">
            <w:pPr>
              <w:pStyle w:val="Glossarytabletext"/>
              <w:rPr>
                <w:lang w:val="en-US" w:eastAsia="en-US"/>
              </w:rPr>
            </w:pPr>
            <w:r>
              <w:rPr>
                <w:lang w:eastAsia="en-US"/>
              </w:rPr>
              <w:t>Commissioner</w:t>
            </w:r>
          </w:p>
        </w:tc>
        <w:tc>
          <w:tcPr>
            <w:tcW w:w="3885" w:type="dxa"/>
          </w:tcPr>
          <w:p w14:paraId="07921009" w14:textId="3886D12C" w:rsidR="00E74476" w:rsidRPr="002C43E8" w:rsidRDefault="00E74476" w:rsidP="0016134B">
            <w:pPr>
              <w:pStyle w:val="Glossarytabletext"/>
              <w:rPr>
                <w:lang w:val="en-US" w:eastAsia="en-US"/>
              </w:rPr>
            </w:pPr>
            <w:r>
              <w:rPr>
                <w:lang w:eastAsia="en-US"/>
              </w:rPr>
              <w:t>Commissioner of Taxation</w:t>
            </w:r>
          </w:p>
        </w:tc>
      </w:tr>
      <w:tr w:rsidR="00E74476" w:rsidRPr="002C43E8" w14:paraId="68F92D7C" w14:textId="77777777" w:rsidTr="0016134B">
        <w:tc>
          <w:tcPr>
            <w:tcW w:w="2721" w:type="dxa"/>
          </w:tcPr>
          <w:p w14:paraId="3DFD2C60" w14:textId="27136891" w:rsidR="00E74476" w:rsidRPr="002C43E8" w:rsidRDefault="00E74476" w:rsidP="0016134B">
            <w:pPr>
              <w:pStyle w:val="Glossarytabletext"/>
              <w:rPr>
                <w:lang w:val="en-US" w:eastAsia="en-US"/>
              </w:rPr>
            </w:pPr>
            <w:r w:rsidRPr="00C42F91">
              <w:rPr>
                <w:lang w:eastAsia="en-US"/>
              </w:rPr>
              <w:t>Corporations Act</w:t>
            </w:r>
          </w:p>
        </w:tc>
        <w:tc>
          <w:tcPr>
            <w:tcW w:w="3885" w:type="dxa"/>
          </w:tcPr>
          <w:p w14:paraId="349C3DBC" w14:textId="2E9F4583" w:rsidR="00E74476" w:rsidRPr="002C43E8" w:rsidRDefault="00E74476" w:rsidP="0016134B">
            <w:pPr>
              <w:pStyle w:val="Glossarytabletext"/>
              <w:rPr>
                <w:lang w:val="en-US" w:eastAsia="en-US"/>
              </w:rPr>
            </w:pPr>
            <w:r w:rsidRPr="00C42F91">
              <w:rPr>
                <w:i/>
                <w:lang w:eastAsia="en-US"/>
              </w:rPr>
              <w:t>Corporations Act 2001</w:t>
            </w:r>
          </w:p>
        </w:tc>
      </w:tr>
      <w:tr w:rsidR="00E74476" w:rsidRPr="002C43E8" w14:paraId="45289AD3" w14:textId="77777777" w:rsidTr="0016134B">
        <w:tc>
          <w:tcPr>
            <w:tcW w:w="2721" w:type="dxa"/>
          </w:tcPr>
          <w:p w14:paraId="3A52E63C" w14:textId="485B472F" w:rsidR="00E74476" w:rsidRPr="002C43E8" w:rsidRDefault="00E74476" w:rsidP="0016134B">
            <w:pPr>
              <w:pStyle w:val="Glossarytabletext"/>
              <w:rPr>
                <w:lang w:val="en-US" w:eastAsia="en-US"/>
              </w:rPr>
            </w:pPr>
            <w:r w:rsidRPr="00C42F91">
              <w:rPr>
                <w:lang w:eastAsia="en-US"/>
              </w:rPr>
              <w:t>Regulatory Exposure Draft Bill</w:t>
            </w:r>
          </w:p>
        </w:tc>
        <w:tc>
          <w:tcPr>
            <w:tcW w:w="3885" w:type="dxa"/>
          </w:tcPr>
          <w:p w14:paraId="19574CC3" w14:textId="7137DB7A" w:rsidR="00E74476" w:rsidRPr="002C43E8" w:rsidRDefault="00E74476" w:rsidP="00C93538">
            <w:pPr>
              <w:pStyle w:val="Glossarytabletext"/>
              <w:rPr>
                <w:lang w:val="en-US" w:eastAsia="en-US"/>
              </w:rPr>
            </w:pPr>
            <w:r w:rsidRPr="00BF3D02">
              <w:t>Treasury Laws Amendment (Corporate Collecti</w:t>
            </w:r>
            <w:r w:rsidR="00184051">
              <w:t>ve Investment Vehicle) Bill 2018</w:t>
            </w:r>
            <w:r w:rsidRPr="00BF3D02">
              <w:t xml:space="preserve"> </w:t>
            </w:r>
            <w:r w:rsidR="00046BA0">
              <w:t>—</w:t>
            </w:r>
            <w:r w:rsidRPr="00BF3D02">
              <w:t xml:space="preserve"> </w:t>
            </w:r>
            <w:r w:rsidR="00593520" w:rsidRPr="00BF3D02">
              <w:t>Exposure Draft</w:t>
            </w:r>
            <w:r w:rsidRPr="00BF3D02">
              <w:t xml:space="preserve"> </w:t>
            </w:r>
          </w:p>
        </w:tc>
      </w:tr>
      <w:tr w:rsidR="00E74476" w:rsidRPr="002C43E8" w14:paraId="2FDB8F44" w14:textId="77777777" w:rsidTr="0016134B">
        <w:tc>
          <w:tcPr>
            <w:tcW w:w="2721" w:type="dxa"/>
          </w:tcPr>
          <w:p w14:paraId="41C85D28" w14:textId="3BD8FBEE" w:rsidR="00E74476" w:rsidRPr="002C43E8" w:rsidRDefault="00E74476" w:rsidP="0016134B">
            <w:pPr>
              <w:pStyle w:val="Glossarytabletext"/>
              <w:rPr>
                <w:lang w:val="en-US" w:eastAsia="en-US"/>
              </w:rPr>
            </w:pPr>
            <w:r>
              <w:rPr>
                <w:lang w:eastAsia="en-US"/>
              </w:rPr>
              <w:t>DIR</w:t>
            </w:r>
          </w:p>
        </w:tc>
        <w:tc>
          <w:tcPr>
            <w:tcW w:w="3885" w:type="dxa"/>
          </w:tcPr>
          <w:p w14:paraId="3EAA8C77" w14:textId="0E45AC43" w:rsidR="00E74476" w:rsidRPr="002C43E8" w:rsidRDefault="00E74476" w:rsidP="0016134B">
            <w:pPr>
              <w:pStyle w:val="Glossarytabletext"/>
              <w:rPr>
                <w:lang w:val="en-US" w:eastAsia="en-US"/>
              </w:rPr>
            </w:pPr>
            <w:r>
              <w:t>dividend, interest and royalties</w:t>
            </w:r>
          </w:p>
        </w:tc>
      </w:tr>
      <w:tr w:rsidR="00396A5B" w:rsidRPr="002C43E8" w14:paraId="136C550E" w14:textId="77777777" w:rsidTr="0016134B">
        <w:tc>
          <w:tcPr>
            <w:tcW w:w="2721" w:type="dxa"/>
          </w:tcPr>
          <w:p w14:paraId="2F4A75EE" w14:textId="0D4EEE94" w:rsidR="00396A5B" w:rsidRDefault="00396A5B" w:rsidP="0016134B">
            <w:pPr>
              <w:pStyle w:val="Glossarytabletext"/>
              <w:rPr>
                <w:lang w:eastAsia="en-US"/>
              </w:rPr>
            </w:pPr>
            <w:r>
              <w:rPr>
                <w:lang w:eastAsia="en-US"/>
              </w:rPr>
              <w:t>GST</w:t>
            </w:r>
          </w:p>
        </w:tc>
        <w:tc>
          <w:tcPr>
            <w:tcW w:w="3885" w:type="dxa"/>
          </w:tcPr>
          <w:p w14:paraId="569B006E" w14:textId="33355EE9" w:rsidR="00396A5B" w:rsidRDefault="00396A5B" w:rsidP="0016134B">
            <w:pPr>
              <w:pStyle w:val="Glossarytabletext"/>
            </w:pPr>
            <w:r>
              <w:t>goods and services tax</w:t>
            </w:r>
          </w:p>
        </w:tc>
      </w:tr>
      <w:tr w:rsidR="00E74476" w:rsidRPr="002C43E8" w14:paraId="7AA48E4E" w14:textId="77777777" w:rsidTr="0016134B">
        <w:tc>
          <w:tcPr>
            <w:tcW w:w="2721" w:type="dxa"/>
          </w:tcPr>
          <w:p w14:paraId="1513FBF9" w14:textId="21EE2ECE" w:rsidR="00E74476" w:rsidRPr="002C43E8" w:rsidRDefault="00E74476" w:rsidP="0016134B">
            <w:pPr>
              <w:pStyle w:val="Glossarytabletext"/>
              <w:rPr>
                <w:lang w:val="en-US" w:eastAsia="en-US"/>
              </w:rPr>
            </w:pPr>
            <w:r w:rsidRPr="00C42F91">
              <w:rPr>
                <w:lang w:eastAsia="en-US"/>
              </w:rPr>
              <w:t>ITAA 1936</w:t>
            </w:r>
          </w:p>
        </w:tc>
        <w:tc>
          <w:tcPr>
            <w:tcW w:w="3885" w:type="dxa"/>
          </w:tcPr>
          <w:p w14:paraId="3AB631E2" w14:textId="49864B9C" w:rsidR="00E74476" w:rsidRPr="002C43E8" w:rsidRDefault="00E74476" w:rsidP="0016134B">
            <w:pPr>
              <w:pStyle w:val="Glossarytabletext"/>
              <w:rPr>
                <w:lang w:val="en-US" w:eastAsia="en-US"/>
              </w:rPr>
            </w:pPr>
            <w:r w:rsidRPr="00C42F91">
              <w:rPr>
                <w:i/>
                <w:lang w:eastAsia="en-US"/>
              </w:rPr>
              <w:t>Income Tax Assessment Act 1936</w:t>
            </w:r>
          </w:p>
        </w:tc>
      </w:tr>
      <w:tr w:rsidR="00E74476" w:rsidRPr="002C43E8" w14:paraId="3E292586" w14:textId="77777777" w:rsidTr="0016134B">
        <w:tc>
          <w:tcPr>
            <w:tcW w:w="2721" w:type="dxa"/>
          </w:tcPr>
          <w:p w14:paraId="15F4330F" w14:textId="400F710B" w:rsidR="00E74476" w:rsidRPr="002C43E8" w:rsidRDefault="00E74476" w:rsidP="0016134B">
            <w:pPr>
              <w:pStyle w:val="Glossarytabletext"/>
              <w:rPr>
                <w:lang w:val="en-US" w:eastAsia="en-US"/>
              </w:rPr>
            </w:pPr>
            <w:r w:rsidRPr="00C42F91">
              <w:rPr>
                <w:lang w:eastAsia="en-US"/>
              </w:rPr>
              <w:t>ITAA 1997</w:t>
            </w:r>
          </w:p>
        </w:tc>
        <w:tc>
          <w:tcPr>
            <w:tcW w:w="3885" w:type="dxa"/>
          </w:tcPr>
          <w:p w14:paraId="54578F81" w14:textId="2B7096E1" w:rsidR="00E74476" w:rsidRPr="002C43E8" w:rsidRDefault="00E74476" w:rsidP="0016134B">
            <w:pPr>
              <w:pStyle w:val="Glossarytabletext"/>
              <w:rPr>
                <w:lang w:val="en-US" w:eastAsia="en-US"/>
              </w:rPr>
            </w:pPr>
            <w:r w:rsidRPr="00C42F91">
              <w:rPr>
                <w:i/>
                <w:lang w:eastAsia="en-US"/>
              </w:rPr>
              <w:t>Income Tax Assessment Act 1997</w:t>
            </w:r>
          </w:p>
        </w:tc>
      </w:tr>
      <w:tr w:rsidR="007B6382" w:rsidRPr="002C43E8" w14:paraId="2812268D" w14:textId="77777777" w:rsidTr="0016134B">
        <w:tc>
          <w:tcPr>
            <w:tcW w:w="2721" w:type="dxa"/>
          </w:tcPr>
          <w:p w14:paraId="27776168" w14:textId="1CFBC9DF" w:rsidR="007B6382" w:rsidRPr="00C42F91" w:rsidRDefault="007B6382" w:rsidP="007B6382">
            <w:pPr>
              <w:pStyle w:val="Glossarytabletext"/>
              <w:rPr>
                <w:lang w:eastAsia="en-US"/>
              </w:rPr>
            </w:pPr>
            <w:r>
              <w:t>Making Sure Foreign Investors Pay Their Fair of Tax in Australia Bill</w:t>
            </w:r>
          </w:p>
        </w:tc>
        <w:tc>
          <w:tcPr>
            <w:tcW w:w="3885" w:type="dxa"/>
          </w:tcPr>
          <w:p w14:paraId="29E0971E" w14:textId="1343C29C" w:rsidR="007B6382" w:rsidRPr="00C42F91" w:rsidRDefault="007B6382" w:rsidP="0016134B">
            <w:pPr>
              <w:pStyle w:val="Glossarytabletext"/>
              <w:rPr>
                <w:i/>
                <w:lang w:eastAsia="en-US"/>
              </w:rPr>
            </w:pPr>
            <w:r>
              <w:t>Treasury Laws Amendment (Making Sure Foreign Investors Pay Their Fair of Tax in Australia and Other Measures) Bill 2018</w:t>
            </w:r>
          </w:p>
        </w:tc>
      </w:tr>
      <w:tr w:rsidR="00E74476" w:rsidRPr="002C43E8" w14:paraId="20DFDAB4" w14:textId="77777777" w:rsidTr="0016134B">
        <w:tc>
          <w:tcPr>
            <w:tcW w:w="2721" w:type="dxa"/>
          </w:tcPr>
          <w:p w14:paraId="2F032679" w14:textId="73BB26F3" w:rsidR="00E74476" w:rsidRPr="002C43E8" w:rsidRDefault="00E74476" w:rsidP="0016134B">
            <w:pPr>
              <w:pStyle w:val="Glossarytabletext"/>
              <w:rPr>
                <w:lang w:val="en-US" w:eastAsia="en-US"/>
              </w:rPr>
            </w:pPr>
            <w:r w:rsidRPr="00C42F91">
              <w:rPr>
                <w:lang w:eastAsia="en-US"/>
              </w:rPr>
              <w:t>MIT</w:t>
            </w:r>
          </w:p>
        </w:tc>
        <w:tc>
          <w:tcPr>
            <w:tcW w:w="3885" w:type="dxa"/>
          </w:tcPr>
          <w:p w14:paraId="26E7ACE0" w14:textId="6DD21EDA" w:rsidR="00E74476" w:rsidRPr="002C43E8" w:rsidRDefault="00E74476" w:rsidP="0016134B">
            <w:pPr>
              <w:pStyle w:val="Glossarytabletext"/>
              <w:rPr>
                <w:lang w:val="en-US" w:eastAsia="en-US"/>
              </w:rPr>
            </w:pPr>
            <w:r w:rsidRPr="00C42F91">
              <w:rPr>
                <w:lang w:eastAsia="en-US"/>
              </w:rPr>
              <w:t>managed investment trust</w:t>
            </w:r>
          </w:p>
        </w:tc>
      </w:tr>
      <w:tr w:rsidR="00184051" w:rsidRPr="002C43E8" w14:paraId="66BC65CF" w14:textId="77777777" w:rsidTr="0016134B">
        <w:tc>
          <w:tcPr>
            <w:tcW w:w="2721" w:type="dxa"/>
          </w:tcPr>
          <w:p w14:paraId="46D5F040" w14:textId="4F926221" w:rsidR="00184051" w:rsidRPr="002C43E8" w:rsidRDefault="00184051" w:rsidP="0016134B">
            <w:pPr>
              <w:pStyle w:val="Glossarytabletext"/>
              <w:rPr>
                <w:lang w:val="en-US" w:eastAsia="en-US"/>
              </w:rPr>
            </w:pPr>
            <w:r>
              <w:rPr>
                <w:lang w:eastAsia="en-US"/>
              </w:rPr>
              <w:t>TAA 1953</w:t>
            </w:r>
          </w:p>
        </w:tc>
        <w:tc>
          <w:tcPr>
            <w:tcW w:w="3885" w:type="dxa"/>
          </w:tcPr>
          <w:p w14:paraId="186E9E52" w14:textId="06E9BA07" w:rsidR="00184051" w:rsidRPr="002C43E8" w:rsidRDefault="00184051" w:rsidP="0016134B">
            <w:pPr>
              <w:pStyle w:val="Glossarytabletext"/>
              <w:rPr>
                <w:lang w:val="en-US" w:eastAsia="en-US"/>
              </w:rPr>
            </w:pPr>
            <w:r w:rsidRPr="00C73B12">
              <w:rPr>
                <w:i/>
                <w:lang w:eastAsia="en-US"/>
              </w:rPr>
              <w:t>Taxation Administration Act 1953</w:t>
            </w:r>
          </w:p>
        </w:tc>
      </w:tr>
      <w:tr w:rsidR="00184051" w:rsidRPr="002C43E8" w14:paraId="7696F2D2" w14:textId="77777777" w:rsidTr="0016134B">
        <w:tc>
          <w:tcPr>
            <w:tcW w:w="2721" w:type="dxa"/>
          </w:tcPr>
          <w:p w14:paraId="649AB4FA" w14:textId="2DD31355" w:rsidR="00184051" w:rsidRPr="002C43E8" w:rsidRDefault="00184051" w:rsidP="0016134B">
            <w:pPr>
              <w:pStyle w:val="Glossarytabletext"/>
              <w:rPr>
                <w:lang w:val="en-US" w:eastAsia="en-US"/>
              </w:rPr>
            </w:pPr>
            <w:r>
              <w:rPr>
                <w:lang w:val="en-US" w:eastAsia="en-US"/>
              </w:rPr>
              <w:t>TFN</w:t>
            </w:r>
          </w:p>
        </w:tc>
        <w:tc>
          <w:tcPr>
            <w:tcW w:w="3885" w:type="dxa"/>
          </w:tcPr>
          <w:p w14:paraId="1E1DC18D" w14:textId="280AA513" w:rsidR="00184051" w:rsidRPr="002C43E8" w:rsidRDefault="00184051" w:rsidP="0016134B">
            <w:pPr>
              <w:pStyle w:val="Glossarytabletext"/>
              <w:rPr>
                <w:lang w:val="en-US" w:eastAsia="en-US"/>
              </w:rPr>
            </w:pPr>
            <w:r>
              <w:rPr>
                <w:lang w:val="en-US" w:eastAsia="en-US"/>
              </w:rPr>
              <w:t>tax file number</w:t>
            </w:r>
          </w:p>
        </w:tc>
      </w:tr>
    </w:tbl>
    <w:p w14:paraId="285B8052" w14:textId="77777777" w:rsidR="00E5385B" w:rsidRDefault="00E5385B" w:rsidP="00B17774"/>
    <w:p w14:paraId="59569F81" w14:textId="77777777" w:rsidR="00B17774" w:rsidRDefault="00B17774" w:rsidP="00B17774"/>
    <w:p w14:paraId="6B321045" w14:textId="77777777" w:rsidR="00E679CA" w:rsidRDefault="00E679CA" w:rsidP="00B17774">
      <w:pPr>
        <w:sectPr w:rsidR="00E679CA" w:rsidSect="00E74E50">
          <w:headerReference w:type="even" r:id="rId25"/>
          <w:headerReference w:type="default" r:id="rId26"/>
          <w:footerReference w:type="even" r:id="rId27"/>
          <w:footerReference w:type="default" r:id="rId28"/>
          <w:footerReference w:type="first" r:id="rId29"/>
          <w:type w:val="oddPage"/>
          <w:pgSz w:w="9979" w:h="14175" w:code="9"/>
          <w:pgMar w:top="567" w:right="1134" w:bottom="567" w:left="1134" w:header="709" w:footer="709" w:gutter="0"/>
          <w:pgNumType w:start="1"/>
          <w:cols w:space="708"/>
          <w:titlePg/>
          <w:docGrid w:linePitch="360"/>
        </w:sectPr>
      </w:pPr>
    </w:p>
    <w:p w14:paraId="3429B8AB" w14:textId="235C4052" w:rsidR="00B17774" w:rsidRPr="007C2B20" w:rsidRDefault="00840701" w:rsidP="000C2A9D">
      <w:pPr>
        <w:pStyle w:val="ChapterHeading"/>
      </w:pPr>
      <w:r w:rsidRPr="000C2A9D">
        <w:lastRenderedPageBreak/>
        <w:br/>
      </w:r>
      <w:bookmarkStart w:id="4" w:name="_Toc501005912"/>
      <w:bookmarkStart w:id="5" w:name="_Toc535241265"/>
      <w:r w:rsidR="0016134B" w:rsidRPr="00C42F91">
        <w:t xml:space="preserve">Tax treatment of </w:t>
      </w:r>
      <w:r w:rsidR="0016134B">
        <w:t xml:space="preserve">corporate collective investment </w:t>
      </w:r>
      <w:r w:rsidR="0016134B" w:rsidRPr="00C42F91">
        <w:t>v</w:t>
      </w:r>
      <w:r w:rsidR="0016134B">
        <w:t>ehicle</w:t>
      </w:r>
      <w:r w:rsidR="0016134B" w:rsidRPr="00C42F91">
        <w:t>s</w:t>
      </w:r>
      <w:bookmarkEnd w:id="4"/>
      <w:bookmarkEnd w:id="5"/>
    </w:p>
    <w:p w14:paraId="3F9E49DE" w14:textId="77777777" w:rsidR="00B17774" w:rsidRDefault="00B17774" w:rsidP="00B17774">
      <w:pPr>
        <w:pStyle w:val="Heading2"/>
      </w:pPr>
      <w:r>
        <w:t>Outline of chapter</w:t>
      </w:r>
    </w:p>
    <w:p w14:paraId="22EFC6C2" w14:textId="67690CBB" w:rsidR="0016134B" w:rsidRDefault="00B677AF" w:rsidP="00D44981">
      <w:pPr>
        <w:pStyle w:val="base-text-paragraph"/>
      </w:pPr>
      <w:r>
        <w:t>T</w:t>
      </w:r>
      <w:r w:rsidR="0016134B" w:rsidRPr="00C42F91">
        <w:t xml:space="preserve">his </w:t>
      </w:r>
      <w:r w:rsidR="005C489E">
        <w:t>Exposure D</w:t>
      </w:r>
      <w:r w:rsidR="0016134B">
        <w:t xml:space="preserve">raft </w:t>
      </w:r>
      <w:r w:rsidR="0016134B" w:rsidRPr="00C42F91">
        <w:t xml:space="preserve">Bill </w:t>
      </w:r>
      <w:r w:rsidR="0016134B">
        <w:t xml:space="preserve">amends the </w:t>
      </w:r>
      <w:r w:rsidR="00C93538">
        <w:t xml:space="preserve">taxation law </w:t>
      </w:r>
      <w:r w:rsidR="0016134B">
        <w:t>to specify the tax treatment for a company that is a CCIV</w:t>
      </w:r>
      <w:r w:rsidR="0016134B" w:rsidRPr="00C42F91">
        <w:t xml:space="preserve">. </w:t>
      </w:r>
      <w:r w:rsidR="00C93538">
        <w:t xml:space="preserve">The amendments ensure that the taxation treatment of CCIVs broadly aligns with the existing tax treatment of </w:t>
      </w:r>
      <w:r w:rsidR="0016134B">
        <w:t xml:space="preserve">AMITs. </w:t>
      </w:r>
    </w:p>
    <w:p w14:paraId="63A8B453" w14:textId="1C56ABEF" w:rsidR="0016134B" w:rsidRDefault="00C93538" w:rsidP="0016134B">
      <w:pPr>
        <w:pStyle w:val="base-text-paragraph"/>
      </w:pPr>
      <w:r>
        <w:t>As a result,</w:t>
      </w:r>
      <w:r w:rsidR="0016134B">
        <w:t xml:space="preserve"> CCIVs </w:t>
      </w:r>
      <w:r>
        <w:t>will be</w:t>
      </w:r>
      <w:r w:rsidR="0016134B">
        <w:t xml:space="preserve"> taxed on a ‘character flow-through’ basis. </w:t>
      </w:r>
      <w:r w:rsidR="0016134B" w:rsidRPr="008B2951">
        <w:t>Amounts of assess</w:t>
      </w:r>
      <w:r w:rsidR="0016134B">
        <w:t>able income, exempt income, non</w:t>
      </w:r>
      <w:r w:rsidR="0016134B">
        <w:noBreakHyphen/>
      </w:r>
      <w:r w:rsidR="0016134B" w:rsidRPr="008B2951">
        <w:t>assessable non-exempt income</w:t>
      </w:r>
      <w:r w:rsidR="0016134B">
        <w:t xml:space="preserve"> and </w:t>
      </w:r>
      <w:r w:rsidR="0016134B" w:rsidRPr="008B2951">
        <w:t>tax offsets</w:t>
      </w:r>
      <w:r w:rsidR="0016134B">
        <w:t xml:space="preserve"> </w:t>
      </w:r>
      <w:r w:rsidR="0016134B" w:rsidRPr="008B2951">
        <w:t>received by the CCIV havin</w:t>
      </w:r>
      <w:r w:rsidR="00FB61AF">
        <w:t>g a par</w:t>
      </w:r>
      <w:r w:rsidR="00D14D41">
        <w:t xml:space="preserve">ticular character are </w:t>
      </w:r>
      <w:r w:rsidR="0016134B" w:rsidRPr="008B2951">
        <w:t>attributed to members</w:t>
      </w:r>
      <w:r w:rsidR="0016134B">
        <w:t xml:space="preserve">. Those amounts will retain that character and be </w:t>
      </w:r>
      <w:r w:rsidR="0016134B" w:rsidRPr="008B2951">
        <w:t>ta</w:t>
      </w:r>
      <w:r w:rsidR="0016134B">
        <w:t xml:space="preserve">xed in the hands of each member. </w:t>
      </w:r>
    </w:p>
    <w:p w14:paraId="5A1AC8AA" w14:textId="5CF0F667" w:rsidR="0016134B" w:rsidRPr="00C42F91" w:rsidRDefault="0016134B" w:rsidP="0016134B">
      <w:pPr>
        <w:pStyle w:val="base-text-paragraph"/>
      </w:pPr>
      <w:r>
        <w:t>All legislative references in this Chapter are to the ITAA 1997 unless</w:t>
      </w:r>
      <w:r w:rsidR="00FB61AF">
        <w:t xml:space="preserve"> otherwise stated.</w:t>
      </w:r>
    </w:p>
    <w:p w14:paraId="1A7AD8D5" w14:textId="77777777" w:rsidR="00B17774" w:rsidRDefault="00B17774" w:rsidP="00B17774">
      <w:pPr>
        <w:pStyle w:val="Heading2"/>
      </w:pPr>
      <w:r>
        <w:t>Context of amendments</w:t>
      </w:r>
    </w:p>
    <w:p w14:paraId="7AF1BDF7" w14:textId="660BF480" w:rsidR="0016134B" w:rsidRPr="005D5FB1" w:rsidRDefault="0016134B" w:rsidP="0016134B">
      <w:pPr>
        <w:pStyle w:val="Heading3"/>
      </w:pPr>
      <w:r>
        <w:t>Introduction of the CCIV</w:t>
      </w:r>
      <w:r w:rsidR="00EA0618">
        <w:t xml:space="preserve"> </w:t>
      </w:r>
    </w:p>
    <w:p w14:paraId="6D483A4B" w14:textId="0CC03102" w:rsidR="00CD29B7" w:rsidRDefault="00CD29B7" w:rsidP="0016134B">
      <w:pPr>
        <w:pStyle w:val="base-text-paragraph"/>
      </w:pPr>
      <w:r w:rsidRPr="00CD29B7">
        <w:t>The</w:t>
      </w:r>
      <w:r w:rsidR="0009129F">
        <w:t xml:space="preserve"> CCIV </w:t>
      </w:r>
      <w:r w:rsidR="001E51A3">
        <w:t xml:space="preserve">is </w:t>
      </w:r>
      <w:r w:rsidRPr="00CD29B7">
        <w:t xml:space="preserve">a new form of passive investment vehicle, </w:t>
      </w:r>
      <w:r w:rsidR="00D04DC1">
        <w:t xml:space="preserve">intended </w:t>
      </w:r>
      <w:r w:rsidRPr="00CD29B7">
        <w:t>to broaden the suite of investment vehicles available to Australian fund managers. It has been designed to be an internationally recognisable investment vehicle that can be marketed to foreign investors, including through the Asia Region Funds Passport</w:t>
      </w:r>
      <w:r>
        <w:t>.</w:t>
      </w:r>
    </w:p>
    <w:p w14:paraId="706CBD5D" w14:textId="291B6C06" w:rsidR="00CD29B7" w:rsidRDefault="00CD29B7" w:rsidP="00CD29B7">
      <w:pPr>
        <w:pStyle w:val="base-text-paragraph"/>
      </w:pPr>
      <w:r w:rsidRPr="00CD29B7">
        <w:t xml:space="preserve">The new CCIV </w:t>
      </w:r>
      <w:r w:rsidR="00A471CB">
        <w:t xml:space="preserve">tax </w:t>
      </w:r>
      <w:r w:rsidRPr="00CD29B7">
        <w:t>regime complements the existing MIT</w:t>
      </w:r>
      <w:r w:rsidR="00A471CB">
        <w:t xml:space="preserve"> tax regime</w:t>
      </w:r>
      <w:r w:rsidR="00DA53CB">
        <w:t>.</w:t>
      </w:r>
      <w:r w:rsidRPr="00CD29B7">
        <w:t xml:space="preserve"> CCIVs will be subject to similar eligibility criteria as MITs, such as being widely-held and not closely-held, limited to passive income ac</w:t>
      </w:r>
      <w:r w:rsidR="00D14D41">
        <w:t xml:space="preserve">tivities and </w:t>
      </w:r>
      <w:r w:rsidRPr="00CD29B7">
        <w:t>be</w:t>
      </w:r>
      <w:r w:rsidR="00B86190">
        <w:t>ing</w:t>
      </w:r>
      <w:r w:rsidRPr="00CD29B7">
        <w:t xml:space="preserve"> an Australian resident</w:t>
      </w:r>
      <w:r>
        <w:t>.</w:t>
      </w:r>
    </w:p>
    <w:p w14:paraId="0130F928" w14:textId="44E802F7" w:rsidR="00CD29B7" w:rsidRDefault="00F131EB" w:rsidP="00CD29B7">
      <w:pPr>
        <w:pStyle w:val="base-text-paragraph"/>
      </w:pPr>
      <w:r>
        <w:t>The CCIV</w:t>
      </w:r>
      <w:r w:rsidR="00A471CB">
        <w:t xml:space="preserve"> tax</w:t>
      </w:r>
      <w:r>
        <w:t xml:space="preserve"> regime is based on an</w:t>
      </w:r>
      <w:r w:rsidR="00CD29B7">
        <w:t xml:space="preserve"> attribution system of tax</w:t>
      </w:r>
      <w:r w:rsidR="001B0D29">
        <w:t xml:space="preserve">. The </w:t>
      </w:r>
      <w:r w:rsidR="00D14D41">
        <w:t>tax outcomes for</w:t>
      </w:r>
      <w:r w:rsidR="00CD29B7">
        <w:t xml:space="preserve"> </w:t>
      </w:r>
      <w:r w:rsidR="00460D53">
        <w:t>an ASF</w:t>
      </w:r>
      <w:r w:rsidR="001B0D29">
        <w:t xml:space="preserve"> of a CCIV</w:t>
      </w:r>
      <w:r w:rsidR="00CD29B7">
        <w:t xml:space="preserve"> are intended to broadly align with the tax outcomes for an AMIT. That is, a</w:t>
      </w:r>
      <w:r w:rsidR="00D44B9E">
        <w:t>n</w:t>
      </w:r>
      <w:r w:rsidR="00CD29B7" w:rsidDel="00D44B9E">
        <w:t xml:space="preserve"> </w:t>
      </w:r>
      <w:r w:rsidR="00460D53">
        <w:t>ASF</w:t>
      </w:r>
      <w:r w:rsidR="00CD29B7">
        <w:t xml:space="preserve"> will (in essence) be taxed like an AMIT.</w:t>
      </w:r>
      <w:r w:rsidR="001B0D29">
        <w:t xml:space="preserve"> A sub-fund of a CCIV that does not satisfy the eligibility requirements for attribution will be subject to tax at the top corporate tax rate.</w:t>
      </w:r>
      <w:r w:rsidR="00460D53">
        <w:t xml:space="preserve"> </w:t>
      </w:r>
      <w:r w:rsidR="00B86190">
        <w:t>A</w:t>
      </w:r>
      <w:r w:rsidR="00460D53" w:rsidRPr="00C44B23">
        <w:t xml:space="preserve"> CCIV is not a franking entity</w:t>
      </w:r>
      <w:r w:rsidR="001B0D29">
        <w:t>.</w:t>
      </w:r>
    </w:p>
    <w:p w14:paraId="69DDBB86" w14:textId="60F4F4F2" w:rsidR="00CD29B7" w:rsidRDefault="00CD29B7" w:rsidP="00CD29B7">
      <w:pPr>
        <w:pStyle w:val="base-text-paragraph"/>
      </w:pPr>
      <w:r>
        <w:t xml:space="preserve">A sub-fund of a CCIV will be treated as though it is a separate </w:t>
      </w:r>
      <w:r w:rsidR="001B0D29">
        <w:t>company</w:t>
      </w:r>
      <w:r>
        <w:t xml:space="preserve"> for the purposes of applying the taxation law</w:t>
      </w:r>
      <w:r w:rsidR="00DD6E19">
        <w:t xml:space="preserve">. </w:t>
      </w:r>
      <w:r w:rsidR="00D14D41">
        <w:t>Consequently</w:t>
      </w:r>
      <w:r w:rsidR="009B4831">
        <w:t xml:space="preserve">, </w:t>
      </w:r>
      <w:r w:rsidR="009B4831">
        <w:lastRenderedPageBreak/>
        <w:t>s</w:t>
      </w:r>
      <w:r>
        <w:t xml:space="preserve">ub-funds will </w:t>
      </w:r>
      <w:r w:rsidR="009B4831">
        <w:t>have</w:t>
      </w:r>
      <w:r>
        <w:t xml:space="preserve"> separate </w:t>
      </w:r>
      <w:r w:rsidR="00595D50">
        <w:t xml:space="preserve">TFNs </w:t>
      </w:r>
      <w:r>
        <w:t>and A</w:t>
      </w:r>
      <w:r w:rsidR="00DD6E19">
        <w:t>BN</w:t>
      </w:r>
      <w:r w:rsidR="009B4831">
        <w:t>s</w:t>
      </w:r>
      <w:r>
        <w:t xml:space="preserve">. This sub-fund segregation approach will also extend to </w:t>
      </w:r>
      <w:r w:rsidR="00D14D41">
        <w:t xml:space="preserve">the dealings by a sub-fund of a CCIV with a </w:t>
      </w:r>
      <w:r>
        <w:t xml:space="preserve">third party </w:t>
      </w:r>
      <w:r w:rsidR="00D14D41">
        <w:t xml:space="preserve">and </w:t>
      </w:r>
      <w:r w:rsidR="00F131EB">
        <w:t>the Commissioner</w:t>
      </w:r>
      <w:r>
        <w:t>.</w:t>
      </w:r>
    </w:p>
    <w:p w14:paraId="50075F3E" w14:textId="1965AD97" w:rsidR="00CD29B7" w:rsidRDefault="00CD29B7" w:rsidP="00CD29B7">
      <w:pPr>
        <w:pStyle w:val="base-text-paragraph"/>
      </w:pPr>
      <w:r>
        <w:t xml:space="preserve">This </w:t>
      </w:r>
      <w:r w:rsidR="005C489E">
        <w:t>Exposure Draft</w:t>
      </w:r>
      <w:r>
        <w:t xml:space="preserve"> Bill and draft explanatory materials outline the tax regime for the CCIV and should be read in conjunction with the Regulatory Exposure Draft Bill and accompanying </w:t>
      </w:r>
      <w:r w:rsidR="00D14D41">
        <w:t xml:space="preserve">draft </w:t>
      </w:r>
      <w:r>
        <w:t>explanatory materials</w:t>
      </w:r>
      <w:r w:rsidR="006F4C4C">
        <w:t>.</w:t>
      </w:r>
    </w:p>
    <w:p w14:paraId="417456AF" w14:textId="77777777" w:rsidR="00B17774" w:rsidRDefault="00B17774" w:rsidP="00B17774">
      <w:pPr>
        <w:pStyle w:val="Heading2"/>
      </w:pPr>
      <w:r>
        <w:t>Summary of new law</w:t>
      </w:r>
    </w:p>
    <w:p w14:paraId="4DA2E7EE" w14:textId="3C777D74" w:rsidR="0016134B" w:rsidRDefault="00C93538" w:rsidP="0016134B">
      <w:pPr>
        <w:pStyle w:val="base-text-paragraph"/>
      </w:pPr>
      <w:r>
        <w:t>T</w:t>
      </w:r>
      <w:r w:rsidRPr="00C42F91">
        <w:t xml:space="preserve">his </w:t>
      </w:r>
      <w:r>
        <w:t xml:space="preserve">Exposure Draft </w:t>
      </w:r>
      <w:r w:rsidRPr="00C42F91">
        <w:t xml:space="preserve">Bill </w:t>
      </w:r>
      <w:r>
        <w:t>amends the taxation law to specify the tax treatment for a company that is a CCIV</w:t>
      </w:r>
      <w:r w:rsidRPr="00C42F91">
        <w:t xml:space="preserve">. </w:t>
      </w:r>
      <w:r>
        <w:t>The amendments ensure that the taxation treatment of CCIVs broadly aligns with the existing tax treatment of AMITs.</w:t>
      </w:r>
    </w:p>
    <w:p w14:paraId="1791CC4B" w14:textId="2FD4FC24" w:rsidR="0016134B" w:rsidRDefault="0016134B" w:rsidP="008422FD">
      <w:pPr>
        <w:pStyle w:val="base-text-paragraph"/>
      </w:pPr>
      <w:r>
        <w:t>Broadly, a CCIV is a company registered under the Corporations Act that satisfies certain regulatory requirements.</w:t>
      </w:r>
    </w:p>
    <w:p w14:paraId="4F570AB3" w14:textId="593D2299" w:rsidR="0016134B" w:rsidRDefault="0016134B" w:rsidP="008422FD">
      <w:pPr>
        <w:pStyle w:val="base-text-paragraph"/>
      </w:pPr>
      <w:r>
        <w:t>A</w:t>
      </w:r>
      <w:r w:rsidR="00504577">
        <w:t xml:space="preserve"> sub-fund of a CCIV</w:t>
      </w:r>
      <w:r>
        <w:t xml:space="preserve"> that satisfies the requirements to be an </w:t>
      </w:r>
      <w:r w:rsidR="00480B00">
        <w:t xml:space="preserve">ASF </w:t>
      </w:r>
      <w:r>
        <w:t>has access to an attribution or ‘character flow-th</w:t>
      </w:r>
      <w:r w:rsidR="00504577">
        <w:t>rough’ model of taxation. A sub-fund will be an ASF</w:t>
      </w:r>
      <w:r>
        <w:t xml:space="preserve"> if</w:t>
      </w:r>
      <w:r w:rsidR="00F322D7">
        <w:t>:</w:t>
      </w:r>
    </w:p>
    <w:p w14:paraId="5F2BF414" w14:textId="6F9F3253" w:rsidR="0016134B" w:rsidRPr="00BF3D02" w:rsidRDefault="00143B0E" w:rsidP="0016134B">
      <w:pPr>
        <w:pStyle w:val="dotpoint"/>
      </w:pPr>
      <w:r>
        <w:t xml:space="preserve">the sub-fund </w:t>
      </w:r>
      <w:r w:rsidRPr="00BF3D02">
        <w:t xml:space="preserve">satisfies </w:t>
      </w:r>
      <w:r w:rsidR="0016134B" w:rsidRPr="00BF3D02">
        <w:t>the widely</w:t>
      </w:r>
      <w:r w:rsidR="0016134B" w:rsidRPr="00BF3D02">
        <w:noBreakHyphen/>
        <w:t>held requirements and closely</w:t>
      </w:r>
      <w:r w:rsidR="0016134B" w:rsidRPr="00BF3D02">
        <w:noBreakHyphen/>
        <w:t>held restrictions in relation to the income year (or the alternative test);</w:t>
      </w:r>
      <w:r w:rsidR="00C54F19">
        <w:t xml:space="preserve"> </w:t>
      </w:r>
    </w:p>
    <w:p w14:paraId="09B8F437" w14:textId="026BEB4D" w:rsidR="00B677AF" w:rsidRDefault="00143B0E" w:rsidP="0016134B">
      <w:pPr>
        <w:pStyle w:val="dotpoint"/>
      </w:pPr>
      <w:r>
        <w:t xml:space="preserve">the sub-fund </w:t>
      </w:r>
      <w:r w:rsidRPr="00BF3D02">
        <w:t xml:space="preserve">satisfies </w:t>
      </w:r>
      <w:r w:rsidR="0016134B" w:rsidRPr="00BF3D02">
        <w:t>the trading business restrictions</w:t>
      </w:r>
      <w:r w:rsidR="00B677AF">
        <w:t>;</w:t>
      </w:r>
    </w:p>
    <w:p w14:paraId="48C2A969" w14:textId="77777777" w:rsidR="00B677AF" w:rsidRDefault="00B677AF" w:rsidP="0016134B">
      <w:pPr>
        <w:pStyle w:val="dotpoint"/>
      </w:pPr>
      <w:r>
        <w:t>the CCIV is an Australian resident during the whole of the income year; and</w:t>
      </w:r>
    </w:p>
    <w:p w14:paraId="343F8DBD" w14:textId="06A50008" w:rsidR="0016134B" w:rsidRPr="00BF3D02" w:rsidRDefault="00B677AF" w:rsidP="0016134B">
      <w:pPr>
        <w:pStyle w:val="dotpoint"/>
      </w:pPr>
      <w:proofErr w:type="gramStart"/>
      <w:r>
        <w:t>t</w:t>
      </w:r>
      <w:r w:rsidR="008E2E4D">
        <w:t>he</w:t>
      </w:r>
      <w:proofErr w:type="gramEnd"/>
      <w:r w:rsidR="008E2E4D">
        <w:t xml:space="preserve"> sub-fund is not an excluded sub-fund</w:t>
      </w:r>
      <w:r w:rsidR="00C54F19" w:rsidDel="00B677AF">
        <w:t>.</w:t>
      </w:r>
    </w:p>
    <w:p w14:paraId="4BDA12A8" w14:textId="4FF4ABCA" w:rsidR="0016134B" w:rsidRDefault="0016134B" w:rsidP="008422FD">
      <w:pPr>
        <w:pStyle w:val="base-text-paragraph"/>
      </w:pPr>
      <w:r>
        <w:t xml:space="preserve">However, if </w:t>
      </w:r>
      <w:r w:rsidR="00F322D7">
        <w:t xml:space="preserve">a sub-fund fails the ASF requirements </w:t>
      </w:r>
      <w:r>
        <w:t>due to temporary circumstances that are outside the control of t</w:t>
      </w:r>
      <w:r w:rsidR="00F322D7">
        <w:t xml:space="preserve">he </w:t>
      </w:r>
      <w:r w:rsidR="005A2966">
        <w:t>CCIV</w:t>
      </w:r>
      <w:r>
        <w:t xml:space="preserve">, the </w:t>
      </w:r>
      <w:r w:rsidR="0075675F">
        <w:t>sub</w:t>
      </w:r>
      <w:r w:rsidR="0075675F">
        <w:noBreakHyphen/>
      </w:r>
      <w:r w:rsidR="00504577">
        <w:t xml:space="preserve">fund </w:t>
      </w:r>
      <w:r>
        <w:t>can continue to be treated as an A</w:t>
      </w:r>
      <w:r w:rsidR="00504577">
        <w:t>SF</w:t>
      </w:r>
      <w:r>
        <w:t xml:space="preserve"> in relation to the income year if it is fair and reasonable to do so.</w:t>
      </w:r>
      <w:r w:rsidR="009B4831">
        <w:t xml:space="preserve"> This is consistent with the current approach for AMITs. </w:t>
      </w:r>
    </w:p>
    <w:p w14:paraId="080AA03C" w14:textId="007ADD24" w:rsidR="0016134B" w:rsidRDefault="0016134B" w:rsidP="008422FD">
      <w:pPr>
        <w:pStyle w:val="base-text-paragraph"/>
      </w:pPr>
      <w:r>
        <w:t>U</w:t>
      </w:r>
      <w:r w:rsidR="00504577">
        <w:t>nder the attribution model, an ASF of a CCIV</w:t>
      </w:r>
      <w:r>
        <w:t xml:space="preserve"> has the following </w:t>
      </w:r>
      <w:r w:rsidR="00DA53CB">
        <w:t>features</w:t>
      </w:r>
      <w:r>
        <w:t xml:space="preserve">: </w:t>
      </w:r>
    </w:p>
    <w:p w14:paraId="1AB1D22D" w14:textId="3155720D" w:rsidR="0016134B" w:rsidRDefault="00785208" w:rsidP="0016134B">
      <w:pPr>
        <w:pStyle w:val="dotpoint"/>
        <w:numPr>
          <w:ilvl w:val="0"/>
          <w:numId w:val="12"/>
        </w:numPr>
      </w:pPr>
      <w:r>
        <w:t xml:space="preserve">for income tax purposes, the </w:t>
      </w:r>
      <w:r w:rsidR="0016134B">
        <w:t>CCIV is able to attribute amounts of assessable income, exempt income, non</w:t>
      </w:r>
      <w:r w:rsidR="0016134B">
        <w:noBreakHyphen/>
        <w:t>assessable non</w:t>
      </w:r>
      <w:r w:rsidR="0016134B">
        <w:noBreakHyphen/>
        <w:t xml:space="preserve">exempt income and tax offsets to members </w:t>
      </w:r>
      <w:r w:rsidR="00504577">
        <w:t xml:space="preserve">of the ASF </w:t>
      </w:r>
      <w:r w:rsidR="0016134B">
        <w:t xml:space="preserve">on a fair and reasonable basis; </w:t>
      </w:r>
    </w:p>
    <w:p w14:paraId="32D8BA8D" w14:textId="71D83860" w:rsidR="0016134B" w:rsidRDefault="00785208" w:rsidP="0016134B">
      <w:pPr>
        <w:pStyle w:val="dotpoint"/>
        <w:numPr>
          <w:ilvl w:val="0"/>
          <w:numId w:val="12"/>
        </w:numPr>
      </w:pPr>
      <w:r>
        <w:t xml:space="preserve">if the </w:t>
      </w:r>
      <w:r w:rsidR="0016134B">
        <w:t xml:space="preserve">CCIV discovers a variance between the amounts actually attributed to members </w:t>
      </w:r>
      <w:r w:rsidR="00A471CB">
        <w:t xml:space="preserve">of an ASF </w:t>
      </w:r>
      <w:r w:rsidR="0016134B">
        <w:t>for an income year, and the amounts that sh</w:t>
      </w:r>
      <w:r>
        <w:t xml:space="preserve">ould have been attributed, the </w:t>
      </w:r>
      <w:r w:rsidR="0016134B">
        <w:t xml:space="preserve">CCIV </w:t>
      </w:r>
      <w:r w:rsidR="0016134B">
        <w:lastRenderedPageBreak/>
        <w:t>can recon</w:t>
      </w:r>
      <w:r w:rsidR="00D14D41">
        <w:t xml:space="preserve">cile the variance in the </w:t>
      </w:r>
      <w:r w:rsidR="0016134B">
        <w:t xml:space="preserve">year that </w:t>
      </w:r>
      <w:r w:rsidR="00D14D41">
        <w:t xml:space="preserve">it </w:t>
      </w:r>
      <w:r w:rsidR="0016134B">
        <w:t>is discovered by using the ‘</w:t>
      </w:r>
      <w:proofErr w:type="spellStart"/>
      <w:r w:rsidR="0016134B">
        <w:t>unders</w:t>
      </w:r>
      <w:proofErr w:type="spellEnd"/>
      <w:r w:rsidR="0016134B">
        <w:t>’ and ‘overs’ regime; and</w:t>
      </w:r>
    </w:p>
    <w:p w14:paraId="3F798186" w14:textId="5AA61FC2" w:rsidR="0016134B" w:rsidRDefault="0016134B" w:rsidP="0016134B">
      <w:pPr>
        <w:pStyle w:val="dotpoint"/>
        <w:numPr>
          <w:ilvl w:val="0"/>
          <w:numId w:val="12"/>
        </w:numPr>
      </w:pPr>
      <w:proofErr w:type="gramStart"/>
      <w:r>
        <w:t>where</w:t>
      </w:r>
      <w:proofErr w:type="gramEnd"/>
      <w:r>
        <w:t xml:space="preserve"> an A</w:t>
      </w:r>
      <w:r w:rsidR="00504577">
        <w:t>SF</w:t>
      </w:r>
      <w:r>
        <w:t xml:space="preserve"> </w:t>
      </w:r>
      <w:r w:rsidR="00977D1F">
        <w:t>has</w:t>
      </w:r>
      <w:r>
        <w:t xml:space="preserve"> separate classes of membership interests </w:t>
      </w:r>
      <w:r w:rsidR="00977D1F">
        <w:t xml:space="preserve">and certain criteria are met, the CCIV </w:t>
      </w:r>
      <w:r>
        <w:t>may elect to treat those classes as separate A</w:t>
      </w:r>
      <w:r w:rsidR="00504577">
        <w:t>SF</w:t>
      </w:r>
      <w:r>
        <w:t xml:space="preserve">s for the purposes of </w:t>
      </w:r>
      <w:r w:rsidR="00143B0E">
        <w:t>applying the attribution rules</w:t>
      </w:r>
      <w:r>
        <w:t xml:space="preserve">. </w:t>
      </w:r>
    </w:p>
    <w:p w14:paraId="336AC467" w14:textId="5FC66CF7" w:rsidR="0016134B" w:rsidRDefault="00F322D7" w:rsidP="008422FD">
      <w:pPr>
        <w:pStyle w:val="base-text-paragraph"/>
      </w:pPr>
      <w:r>
        <w:t>In addition</w:t>
      </w:r>
      <w:r w:rsidR="0016134B">
        <w:t>:</w:t>
      </w:r>
    </w:p>
    <w:p w14:paraId="12093DB1" w14:textId="6AAB974D" w:rsidR="0016134B" w:rsidRDefault="0016134B" w:rsidP="0016134B">
      <w:pPr>
        <w:pStyle w:val="dotpoint"/>
      </w:pPr>
      <w:r>
        <w:t xml:space="preserve">the withholding </w:t>
      </w:r>
      <w:r w:rsidR="00517E76">
        <w:t xml:space="preserve">tax </w:t>
      </w:r>
      <w:r>
        <w:t xml:space="preserve">provisions apply to CCIVs and their members </w:t>
      </w:r>
      <w:r w:rsidR="00F322D7">
        <w:t>in the same way that they apply to AMITs</w:t>
      </w:r>
      <w:r>
        <w:t xml:space="preserve">; </w:t>
      </w:r>
    </w:p>
    <w:p w14:paraId="62CBD2E7" w14:textId="77777777" w:rsidR="00DD6E19" w:rsidRDefault="0016134B" w:rsidP="0016134B">
      <w:pPr>
        <w:pStyle w:val="dotpoint"/>
      </w:pPr>
      <w:r>
        <w:t xml:space="preserve">CCIVs </w:t>
      </w:r>
      <w:r w:rsidR="00F322D7">
        <w:t xml:space="preserve">can elect </w:t>
      </w:r>
      <w:r>
        <w:t>deemed capital account treatm</w:t>
      </w:r>
      <w:r w:rsidR="00F322D7">
        <w:t>ent</w:t>
      </w:r>
      <w:r w:rsidR="00D7581D">
        <w:t xml:space="preserve"> for ASFs</w:t>
      </w:r>
      <w:r w:rsidR="00DD6E19">
        <w:t>; and</w:t>
      </w:r>
    </w:p>
    <w:p w14:paraId="079059F0" w14:textId="4E4BD653" w:rsidR="0016134B" w:rsidRDefault="00DD6E19" w:rsidP="0016134B">
      <w:pPr>
        <w:pStyle w:val="dotpoint"/>
      </w:pPr>
      <w:r>
        <w:t>CCIVs will be liable to pay income tax in certain circumstances</w:t>
      </w:r>
      <w:r w:rsidR="00F322D7">
        <w:t>.</w:t>
      </w:r>
    </w:p>
    <w:p w14:paraId="20233706" w14:textId="7BB0C746" w:rsidR="0016134B" w:rsidRDefault="00F322D7" w:rsidP="008422FD">
      <w:pPr>
        <w:pStyle w:val="base-text-paragraph"/>
      </w:pPr>
      <w:r>
        <w:t>Restructure roll</w:t>
      </w:r>
      <w:r>
        <w:noBreakHyphen/>
        <w:t xml:space="preserve">over relief will be available to </w:t>
      </w:r>
      <w:r w:rsidR="0016134B">
        <w:t xml:space="preserve">AMITs that choose to transition into an </w:t>
      </w:r>
      <w:r w:rsidR="00504577">
        <w:t xml:space="preserve">ASF of </w:t>
      </w:r>
      <w:r w:rsidR="00785208">
        <w:t xml:space="preserve">a </w:t>
      </w:r>
      <w:r w:rsidR="0016134B">
        <w:t>CCIV</w:t>
      </w:r>
      <w:r>
        <w:t xml:space="preserve">. </w:t>
      </w:r>
      <w:r w:rsidR="00374AA1">
        <w:t xml:space="preserve">The restructure relief is dependent on, among other things, an investor holding </w:t>
      </w:r>
      <w:r w:rsidR="00143B0E">
        <w:t xml:space="preserve">membership </w:t>
      </w:r>
      <w:r w:rsidR="00374AA1">
        <w:t xml:space="preserve">interests (shares) in the CCIV </w:t>
      </w:r>
      <w:r w:rsidR="00061E5D">
        <w:t xml:space="preserve">referable to the ASF </w:t>
      </w:r>
      <w:r w:rsidR="00374AA1">
        <w:t xml:space="preserve">in the same proportion as it owned </w:t>
      </w:r>
      <w:r w:rsidR="00143B0E">
        <w:t xml:space="preserve">membership </w:t>
      </w:r>
      <w:r w:rsidR="00542A82">
        <w:t>interests in the AMIT.</w:t>
      </w:r>
    </w:p>
    <w:p w14:paraId="12A34DCD" w14:textId="3F9FBEF9" w:rsidR="009B4831" w:rsidRDefault="0016134B" w:rsidP="008422FD">
      <w:pPr>
        <w:pStyle w:val="base-text-paragraph"/>
        <w:numPr>
          <w:ilvl w:val="1"/>
          <w:numId w:val="7"/>
        </w:numPr>
      </w:pPr>
      <w:r>
        <w:t xml:space="preserve">A </w:t>
      </w:r>
      <w:r w:rsidR="007045A0">
        <w:t>sub-fund</w:t>
      </w:r>
      <w:r>
        <w:t xml:space="preserve"> that fails to satisfy the </w:t>
      </w:r>
      <w:r w:rsidR="007045A0">
        <w:t>ASF</w:t>
      </w:r>
      <w:r>
        <w:t xml:space="preserve"> criteria </w:t>
      </w:r>
      <w:r w:rsidR="009B4831">
        <w:t xml:space="preserve">(and </w:t>
      </w:r>
      <w:r w:rsidR="00D14D41">
        <w:t xml:space="preserve">which does not qualify for relief </w:t>
      </w:r>
      <w:r w:rsidR="009B4831">
        <w:t>under the temporary circumstances safe harbour provision)</w:t>
      </w:r>
      <w:r>
        <w:t xml:space="preserve"> is subject to taxation at </w:t>
      </w:r>
      <w:r w:rsidR="00F322D7">
        <w:t>the top corporate tax rate</w:t>
      </w:r>
      <w:r w:rsidR="001F7E25">
        <w:t xml:space="preserve"> and cannot </w:t>
      </w:r>
      <w:r w:rsidR="00374AA1">
        <w:t xml:space="preserve">frank </w:t>
      </w:r>
      <w:r>
        <w:t>distribut</w:t>
      </w:r>
      <w:r w:rsidR="00374AA1">
        <w:t>ions</w:t>
      </w:r>
      <w:r>
        <w:t xml:space="preserve"> to members as it is not a franking entity. </w:t>
      </w:r>
    </w:p>
    <w:p w14:paraId="0202A991" w14:textId="7C149004" w:rsidR="0016134B" w:rsidRDefault="009B4831" w:rsidP="008422FD">
      <w:pPr>
        <w:pStyle w:val="base-text-paragraph"/>
      </w:pPr>
      <w:r>
        <w:t>This reflects the Government’s policy intent that the CCIV is a new form of passive investment vehicle and is not intended to be a hybrid investment vehicle that derives trading income. However, in response to industry comments on previ</w:t>
      </w:r>
      <w:r w:rsidR="00F131EB">
        <w:t>ous consultation drafts, this Exposure Draft Bill</w:t>
      </w:r>
      <w:r>
        <w:t xml:space="preserve"> provides for CGT roll</w:t>
      </w:r>
      <w:r w:rsidR="00F131EB">
        <w:t>-</w:t>
      </w:r>
      <w:r>
        <w:t>over to facilitate a sub-fund that is not an ASF, to restructure into a new company</w:t>
      </w:r>
      <w:r w:rsidR="00160B42">
        <w:t xml:space="preserve"> that is not a CCIV</w:t>
      </w:r>
      <w:r>
        <w:t xml:space="preserve">. </w:t>
      </w:r>
    </w:p>
    <w:p w14:paraId="73580F62" w14:textId="262D0130" w:rsidR="0039341D" w:rsidRDefault="0039341D" w:rsidP="008422FD">
      <w:pPr>
        <w:pStyle w:val="base-text-paragraph"/>
      </w:pPr>
      <w:r>
        <w:t>The</w:t>
      </w:r>
      <w:r w:rsidRPr="00130D7B">
        <w:t xml:space="preserve"> ‘ch</w:t>
      </w:r>
      <w:r>
        <w:t xml:space="preserve">aracter flow-through’ model </w:t>
      </w:r>
      <w:r w:rsidRPr="00130D7B">
        <w:t>ensure</w:t>
      </w:r>
      <w:r>
        <w:t>s</w:t>
      </w:r>
      <w:r w:rsidRPr="00130D7B">
        <w:t xml:space="preserve"> that amounts derived or received by the</w:t>
      </w:r>
      <w:r>
        <w:t xml:space="preserve"> </w:t>
      </w:r>
      <w:r w:rsidR="00977D1F">
        <w:t>CCIV</w:t>
      </w:r>
      <w:r w:rsidRPr="00130D7B">
        <w:t xml:space="preserve"> that are attributed to members retain the character they had in the hands of the </w:t>
      </w:r>
      <w:r w:rsidR="00977D1F">
        <w:t>CCIV</w:t>
      </w:r>
      <w:r>
        <w:t xml:space="preserve"> for income tax purposes. Therefore, a</w:t>
      </w:r>
      <w:r w:rsidRPr="00130D7B">
        <w:t>mounts derived or received by the</w:t>
      </w:r>
      <w:r>
        <w:t xml:space="preserve"> CCIV referable to an ASF</w:t>
      </w:r>
      <w:r w:rsidRPr="00130D7B">
        <w:t xml:space="preserve"> that are a</w:t>
      </w:r>
      <w:r>
        <w:t xml:space="preserve">ttributed to members will retain their original </w:t>
      </w:r>
      <w:r w:rsidRPr="00130D7B">
        <w:t>character</w:t>
      </w:r>
      <w:r>
        <w:t xml:space="preserve"> and will not be treated as a dividend unless the amount had the character of a dividend when it was derived by the CCIV.</w:t>
      </w:r>
      <w:r w:rsidR="000B1AC6">
        <w:t xml:space="preserve"> This ensures that distributions from a CCIV in relation to an ASF will not be treated as a dividend for treaty purposes (unless the underl</w:t>
      </w:r>
      <w:r w:rsidR="00746B85">
        <w:t>y</w:t>
      </w:r>
      <w:r w:rsidR="000B1AC6">
        <w:t>ing character of the income is a dividend).</w:t>
      </w:r>
    </w:p>
    <w:p w14:paraId="3B2FBE9F" w14:textId="7FFDC762" w:rsidR="0016134B" w:rsidRPr="00130D7B" w:rsidRDefault="0039341D" w:rsidP="008422FD">
      <w:pPr>
        <w:pStyle w:val="base-text-paragraph"/>
      </w:pPr>
      <w:r>
        <w:t xml:space="preserve">In addition, </w:t>
      </w:r>
      <w:r w:rsidRPr="00130D7B">
        <w:t xml:space="preserve">members </w:t>
      </w:r>
      <w:r w:rsidR="00046BA0">
        <w:t>can</w:t>
      </w:r>
      <w:r w:rsidRPr="00130D7B">
        <w:t xml:space="preserve"> make upward and downward adjustments to the cost bases of their</w:t>
      </w:r>
      <w:r>
        <w:t xml:space="preserve"> shares in the CCIV</w:t>
      </w:r>
      <w:r w:rsidR="001F7E25">
        <w:t xml:space="preserve"> </w:t>
      </w:r>
      <w:r>
        <w:t xml:space="preserve">to prevent </w:t>
      </w:r>
      <w:r w:rsidRPr="00130D7B">
        <w:t>double taxation tha</w:t>
      </w:r>
      <w:r>
        <w:t>t might otherwise arise.</w:t>
      </w:r>
    </w:p>
    <w:p w14:paraId="34F0B876" w14:textId="77777777" w:rsidR="00B17774" w:rsidRDefault="00B17774" w:rsidP="00B17774">
      <w:pPr>
        <w:pStyle w:val="Heading2with18pointafter"/>
      </w:pPr>
      <w:r>
        <w:lastRenderedPageBreak/>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B17774" w:rsidRPr="004666B8" w14:paraId="690EFDD1" w14:textId="77777777" w:rsidTr="0016134B">
        <w:tc>
          <w:tcPr>
            <w:tcW w:w="3275" w:type="dxa"/>
          </w:tcPr>
          <w:p w14:paraId="11E146C9" w14:textId="77777777" w:rsidR="00B17774" w:rsidRPr="004666B8" w:rsidRDefault="00B17774" w:rsidP="0016134B">
            <w:pPr>
              <w:pStyle w:val="tableheaderwithintable"/>
              <w:rPr>
                <w:lang w:val="en-US" w:eastAsia="en-US"/>
              </w:rPr>
            </w:pPr>
            <w:r w:rsidRPr="004666B8">
              <w:rPr>
                <w:lang w:val="en-US" w:eastAsia="en-US"/>
              </w:rPr>
              <w:t>New law</w:t>
            </w:r>
          </w:p>
        </w:tc>
        <w:tc>
          <w:tcPr>
            <w:tcW w:w="3276" w:type="dxa"/>
          </w:tcPr>
          <w:p w14:paraId="0A653E2D" w14:textId="77777777" w:rsidR="00B17774" w:rsidRPr="004666B8" w:rsidRDefault="00B17774" w:rsidP="0016134B">
            <w:pPr>
              <w:pStyle w:val="tableheaderwithintable"/>
              <w:rPr>
                <w:lang w:val="en-US" w:eastAsia="en-US"/>
              </w:rPr>
            </w:pPr>
            <w:r w:rsidRPr="004666B8">
              <w:rPr>
                <w:lang w:val="en-US" w:eastAsia="en-US"/>
              </w:rPr>
              <w:t>Current law</w:t>
            </w:r>
          </w:p>
        </w:tc>
      </w:tr>
      <w:tr w:rsidR="0016134B" w14:paraId="23AD32BF" w14:textId="77777777" w:rsidTr="0016134B">
        <w:tc>
          <w:tcPr>
            <w:tcW w:w="3275" w:type="dxa"/>
          </w:tcPr>
          <w:p w14:paraId="25FCAAB0" w14:textId="6B28B5AC" w:rsidR="00217D59" w:rsidRDefault="00217D59" w:rsidP="00217D59">
            <w:pPr>
              <w:pStyle w:val="tabletext"/>
              <w:rPr>
                <w:lang w:eastAsia="en-US"/>
              </w:rPr>
            </w:pPr>
            <w:r>
              <w:rPr>
                <w:lang w:eastAsia="en-US"/>
              </w:rPr>
              <w:t>A sub-fund of a CCIV that satisfies the requirements to be an ASF has access to an attribution or ‘character flo</w:t>
            </w:r>
            <w:r w:rsidR="0075675F">
              <w:rPr>
                <w:lang w:eastAsia="en-US"/>
              </w:rPr>
              <w:t>w-through’ model of taxation. A </w:t>
            </w:r>
            <w:r>
              <w:rPr>
                <w:lang w:eastAsia="en-US"/>
              </w:rPr>
              <w:t>sub-fund will be an ASF if:</w:t>
            </w:r>
          </w:p>
          <w:p w14:paraId="692CDC61" w14:textId="3022775C" w:rsidR="00217D59" w:rsidRDefault="00143B0E" w:rsidP="00217D59">
            <w:pPr>
              <w:pStyle w:val="tabledotpoint"/>
              <w:rPr>
                <w:lang w:eastAsia="en-US"/>
              </w:rPr>
            </w:pPr>
            <w:r>
              <w:rPr>
                <w:lang w:eastAsia="en-US"/>
              </w:rPr>
              <w:t xml:space="preserve">the sub-fund satisfies </w:t>
            </w:r>
            <w:r w:rsidR="00217D59">
              <w:rPr>
                <w:lang w:eastAsia="en-US"/>
              </w:rPr>
              <w:t xml:space="preserve">the widely held requirements and closely held restrictions in relation to the income year (or the alternative test); </w:t>
            </w:r>
          </w:p>
          <w:p w14:paraId="5C3A32FB" w14:textId="33B632B0" w:rsidR="00B677AF" w:rsidRDefault="00143B0E" w:rsidP="00217D59">
            <w:pPr>
              <w:pStyle w:val="tabledotpoint"/>
              <w:rPr>
                <w:lang w:eastAsia="en-US"/>
              </w:rPr>
            </w:pPr>
            <w:r>
              <w:rPr>
                <w:lang w:eastAsia="en-US"/>
              </w:rPr>
              <w:t xml:space="preserve">the sub-fund satisfies </w:t>
            </w:r>
            <w:r w:rsidR="00217D59">
              <w:rPr>
                <w:lang w:eastAsia="en-US"/>
              </w:rPr>
              <w:t>the trading business restrictions</w:t>
            </w:r>
            <w:r w:rsidR="00B677AF">
              <w:rPr>
                <w:lang w:eastAsia="en-US"/>
              </w:rPr>
              <w:t xml:space="preserve">, </w:t>
            </w:r>
          </w:p>
          <w:p w14:paraId="43D7A4EB" w14:textId="77777777" w:rsidR="00B677AF" w:rsidRDefault="00B677AF" w:rsidP="00217D59">
            <w:pPr>
              <w:pStyle w:val="tabledotpoint"/>
              <w:rPr>
                <w:lang w:eastAsia="en-US"/>
              </w:rPr>
            </w:pPr>
            <w:r>
              <w:rPr>
                <w:lang w:eastAsia="en-US"/>
              </w:rPr>
              <w:t xml:space="preserve">the CCIV is an Australian resident during the whole of the income year; and </w:t>
            </w:r>
          </w:p>
          <w:p w14:paraId="790F6926" w14:textId="18144B39" w:rsidR="00217D59" w:rsidRDefault="00444C3F" w:rsidP="00217D59">
            <w:pPr>
              <w:pStyle w:val="tabledotpoint"/>
              <w:rPr>
                <w:lang w:eastAsia="en-US"/>
              </w:rPr>
            </w:pPr>
            <w:proofErr w:type="gramStart"/>
            <w:r>
              <w:rPr>
                <w:lang w:eastAsia="en-US"/>
              </w:rPr>
              <w:t>the</w:t>
            </w:r>
            <w:proofErr w:type="gramEnd"/>
            <w:r>
              <w:rPr>
                <w:lang w:eastAsia="en-US"/>
              </w:rPr>
              <w:t xml:space="preserve"> sub-fund is not an excluded sub-fund</w:t>
            </w:r>
            <w:r w:rsidR="00217D59" w:rsidDel="00B677AF">
              <w:rPr>
                <w:lang w:eastAsia="en-US"/>
              </w:rPr>
              <w:t>.</w:t>
            </w:r>
          </w:p>
          <w:p w14:paraId="5F41D6EE" w14:textId="0AA1D54D" w:rsidR="00217D59" w:rsidRDefault="00217D59" w:rsidP="00217D59">
            <w:pPr>
              <w:pStyle w:val="tabletext"/>
              <w:rPr>
                <w:lang w:eastAsia="en-US"/>
              </w:rPr>
            </w:pPr>
            <w:r>
              <w:rPr>
                <w:lang w:eastAsia="en-US"/>
              </w:rPr>
              <w:t xml:space="preserve">However, if a sub-fund fails the ASF requirements due to temporary circumstances that are outside the control of the </w:t>
            </w:r>
            <w:r w:rsidR="005A2966">
              <w:rPr>
                <w:lang w:eastAsia="en-US"/>
              </w:rPr>
              <w:t>CCIV</w:t>
            </w:r>
            <w:r>
              <w:rPr>
                <w:lang w:eastAsia="en-US"/>
              </w:rPr>
              <w:t>, the sub-fund can continue to be treated as an ASF in relation to the income year if it is fair and reasonable to do so.</w:t>
            </w:r>
          </w:p>
          <w:p w14:paraId="7BDF5986" w14:textId="59A1A3C7" w:rsidR="00217D59" w:rsidRDefault="00217D59" w:rsidP="00217D59">
            <w:pPr>
              <w:pStyle w:val="tabletext"/>
              <w:rPr>
                <w:lang w:eastAsia="en-US"/>
              </w:rPr>
            </w:pPr>
            <w:r>
              <w:rPr>
                <w:lang w:eastAsia="en-US"/>
              </w:rPr>
              <w:t xml:space="preserve">Under the attribution model, an ASF of a CCIV has the following features: </w:t>
            </w:r>
          </w:p>
          <w:p w14:paraId="427A6D8E" w14:textId="4159D7F5" w:rsidR="00217D59" w:rsidRDefault="00217D59" w:rsidP="00217D59">
            <w:pPr>
              <w:pStyle w:val="tabledotpoint"/>
              <w:rPr>
                <w:lang w:eastAsia="en-US"/>
              </w:rPr>
            </w:pPr>
            <w:r>
              <w:rPr>
                <w:lang w:eastAsia="en-US"/>
              </w:rPr>
              <w:t>for income tax purposes, the CCIV is able to attribute amounts of assessable income, exempt income, non</w:t>
            </w:r>
            <w:r>
              <w:rPr>
                <w:lang w:eastAsia="en-US"/>
              </w:rPr>
              <w:noBreakHyphen/>
              <w:t>assessable non</w:t>
            </w:r>
            <w:r>
              <w:rPr>
                <w:lang w:eastAsia="en-US"/>
              </w:rPr>
              <w:noBreakHyphen/>
              <w:t xml:space="preserve">exempt income and tax offsets to members of the ASF on a fair and reasonable basis; </w:t>
            </w:r>
          </w:p>
          <w:p w14:paraId="6DC9AE6F" w14:textId="76C3C65E" w:rsidR="00217D59" w:rsidRDefault="00217D59" w:rsidP="00217D59">
            <w:pPr>
              <w:pStyle w:val="tabledotpoint"/>
              <w:rPr>
                <w:lang w:eastAsia="en-US"/>
              </w:rPr>
            </w:pPr>
            <w:r>
              <w:rPr>
                <w:lang w:eastAsia="en-US"/>
              </w:rPr>
              <w:t>if the CCIV discovers a variance between the amounts actually attributed to members</w:t>
            </w:r>
            <w:r w:rsidR="00A471CB">
              <w:rPr>
                <w:lang w:eastAsia="en-US"/>
              </w:rPr>
              <w:t xml:space="preserve"> of an ASF</w:t>
            </w:r>
            <w:r>
              <w:rPr>
                <w:lang w:eastAsia="en-US"/>
              </w:rPr>
              <w:t xml:space="preserve"> for an income year, and the amounts that should have been attributed, the CCIV can recon</w:t>
            </w:r>
            <w:r w:rsidR="00D14D41">
              <w:rPr>
                <w:lang w:eastAsia="en-US"/>
              </w:rPr>
              <w:t xml:space="preserve">cile the variance in the </w:t>
            </w:r>
            <w:r>
              <w:rPr>
                <w:lang w:eastAsia="en-US"/>
              </w:rPr>
              <w:t>year that</w:t>
            </w:r>
            <w:r w:rsidR="00D14D41">
              <w:rPr>
                <w:lang w:eastAsia="en-US"/>
              </w:rPr>
              <w:t xml:space="preserve"> it</w:t>
            </w:r>
            <w:r>
              <w:rPr>
                <w:lang w:eastAsia="en-US"/>
              </w:rPr>
              <w:t xml:space="preserve"> is discovered by using the ‘</w:t>
            </w:r>
            <w:proofErr w:type="spellStart"/>
            <w:r>
              <w:rPr>
                <w:lang w:eastAsia="en-US"/>
              </w:rPr>
              <w:t>unders</w:t>
            </w:r>
            <w:proofErr w:type="spellEnd"/>
            <w:r>
              <w:rPr>
                <w:lang w:eastAsia="en-US"/>
              </w:rPr>
              <w:t>’ and ‘overs’ regime; and</w:t>
            </w:r>
          </w:p>
          <w:p w14:paraId="6D35CDF6" w14:textId="4E82CDBA" w:rsidR="00217D59" w:rsidRDefault="00217D59" w:rsidP="00217D59">
            <w:pPr>
              <w:pStyle w:val="tabledotpoint"/>
              <w:rPr>
                <w:lang w:eastAsia="en-US"/>
              </w:rPr>
            </w:pPr>
            <w:proofErr w:type="gramStart"/>
            <w:r>
              <w:rPr>
                <w:lang w:eastAsia="en-US"/>
              </w:rPr>
              <w:t>where</w:t>
            </w:r>
            <w:proofErr w:type="gramEnd"/>
            <w:r>
              <w:rPr>
                <w:lang w:eastAsia="en-US"/>
              </w:rPr>
              <w:t xml:space="preserve"> an ASF </w:t>
            </w:r>
            <w:r w:rsidR="00977D1F" w:rsidRPr="00977D1F">
              <w:rPr>
                <w:lang w:eastAsia="en-US"/>
              </w:rPr>
              <w:t>has</w:t>
            </w:r>
            <w:r>
              <w:rPr>
                <w:lang w:eastAsia="en-US"/>
              </w:rPr>
              <w:t xml:space="preserve"> separate classes of membership interests </w:t>
            </w:r>
            <w:r w:rsidR="00977D1F" w:rsidRPr="00977D1F">
              <w:rPr>
                <w:lang w:eastAsia="en-US"/>
              </w:rPr>
              <w:t xml:space="preserve">and </w:t>
            </w:r>
            <w:r w:rsidR="00977D1F" w:rsidRPr="00977D1F">
              <w:rPr>
                <w:lang w:eastAsia="en-US"/>
              </w:rPr>
              <w:lastRenderedPageBreak/>
              <w:t xml:space="preserve">certain criteria are met, the CCIV </w:t>
            </w:r>
            <w:r>
              <w:rPr>
                <w:lang w:eastAsia="en-US"/>
              </w:rPr>
              <w:t xml:space="preserve">may elect to treat those classes as separate ASFs </w:t>
            </w:r>
            <w:r w:rsidRPr="00977D1F">
              <w:rPr>
                <w:lang w:eastAsia="en-US"/>
              </w:rPr>
              <w:t xml:space="preserve">for the purposes of </w:t>
            </w:r>
            <w:r w:rsidR="00143B0E" w:rsidRPr="00977D1F">
              <w:rPr>
                <w:lang w:eastAsia="en-US"/>
              </w:rPr>
              <w:t>applying the attribution rules</w:t>
            </w:r>
            <w:r>
              <w:rPr>
                <w:lang w:eastAsia="en-US"/>
              </w:rPr>
              <w:t>.</w:t>
            </w:r>
          </w:p>
          <w:p w14:paraId="442B36F3" w14:textId="75F88918" w:rsidR="00217D59" w:rsidRDefault="00217D59" w:rsidP="00217D59">
            <w:pPr>
              <w:pStyle w:val="tabletext"/>
              <w:rPr>
                <w:lang w:eastAsia="en-US"/>
              </w:rPr>
            </w:pPr>
            <w:r>
              <w:rPr>
                <w:lang w:eastAsia="en-US"/>
              </w:rPr>
              <w:t>In addition:</w:t>
            </w:r>
          </w:p>
          <w:p w14:paraId="48E7E75C" w14:textId="4FA8CA15" w:rsidR="00217D59" w:rsidRDefault="00217D59" w:rsidP="00217D59">
            <w:pPr>
              <w:pStyle w:val="tabledotpoint"/>
              <w:rPr>
                <w:lang w:eastAsia="en-US"/>
              </w:rPr>
            </w:pPr>
            <w:r>
              <w:rPr>
                <w:lang w:eastAsia="en-US"/>
              </w:rPr>
              <w:t xml:space="preserve">the withholding tax provisions apply to CCIVs and their members in the same way that they apply to AMITs; </w:t>
            </w:r>
          </w:p>
          <w:p w14:paraId="03A3A185" w14:textId="29701A5F" w:rsidR="00217D59" w:rsidRDefault="00217D59" w:rsidP="00217D59">
            <w:pPr>
              <w:pStyle w:val="tabledotpoint"/>
              <w:rPr>
                <w:lang w:eastAsia="en-US"/>
              </w:rPr>
            </w:pPr>
            <w:r>
              <w:rPr>
                <w:lang w:eastAsia="en-US"/>
              </w:rPr>
              <w:t>CCIV</w:t>
            </w:r>
            <w:r w:rsidR="00046BA0">
              <w:rPr>
                <w:lang w:eastAsia="en-US"/>
              </w:rPr>
              <w:t>s</w:t>
            </w:r>
            <w:r>
              <w:rPr>
                <w:lang w:eastAsia="en-US"/>
              </w:rPr>
              <w:t xml:space="preserve"> will be liable to pay income tax in certain circumstances; and</w:t>
            </w:r>
          </w:p>
          <w:p w14:paraId="16D41294" w14:textId="4189D2BE" w:rsidR="0016134B" w:rsidRPr="008F43B5" w:rsidRDefault="00217D59" w:rsidP="00217D59">
            <w:pPr>
              <w:pStyle w:val="tabledotpoint"/>
              <w:rPr>
                <w:lang w:eastAsia="en-US"/>
              </w:rPr>
            </w:pPr>
            <w:r>
              <w:rPr>
                <w:lang w:eastAsia="en-US"/>
              </w:rPr>
              <w:t>CCIVs can elect deemed capital account treatment.</w:t>
            </w:r>
          </w:p>
        </w:tc>
        <w:tc>
          <w:tcPr>
            <w:tcW w:w="3276" w:type="dxa"/>
          </w:tcPr>
          <w:p w14:paraId="60D97355" w14:textId="77777777" w:rsidR="0016134B" w:rsidRDefault="0016134B" w:rsidP="0016134B">
            <w:pPr>
              <w:pStyle w:val="tabledotpoint"/>
              <w:numPr>
                <w:ilvl w:val="0"/>
                <w:numId w:val="0"/>
              </w:numPr>
              <w:rPr>
                <w:lang w:eastAsia="en-US"/>
              </w:rPr>
            </w:pPr>
            <w:r>
              <w:rPr>
                <w:lang w:eastAsia="en-US"/>
              </w:rPr>
              <w:lastRenderedPageBreak/>
              <w:t>No equivalent.</w:t>
            </w:r>
          </w:p>
          <w:p w14:paraId="112A6D3B" w14:textId="77777777" w:rsidR="0016134B" w:rsidRDefault="0016134B" w:rsidP="0016134B">
            <w:pPr>
              <w:pStyle w:val="tabledotpoint"/>
              <w:numPr>
                <w:ilvl w:val="0"/>
                <w:numId w:val="0"/>
              </w:numPr>
            </w:pPr>
          </w:p>
        </w:tc>
      </w:tr>
      <w:tr w:rsidR="0016134B" w:rsidRPr="007A3E14" w14:paraId="5427F1FB" w14:textId="77777777" w:rsidTr="0016134B">
        <w:tc>
          <w:tcPr>
            <w:tcW w:w="3275" w:type="dxa"/>
          </w:tcPr>
          <w:p w14:paraId="468099B6" w14:textId="637EAEF6" w:rsidR="0016134B" w:rsidRDefault="001A2AFF" w:rsidP="00FE7D54">
            <w:pPr>
              <w:pStyle w:val="tabletext"/>
            </w:pPr>
            <w:r>
              <w:lastRenderedPageBreak/>
              <w:t>Restructure roll-</w:t>
            </w:r>
            <w:r w:rsidR="00217D59" w:rsidRPr="00217D59">
              <w:t xml:space="preserve">over relief will be available to AMITs that choose to transition into an ASF of a CCIV. The restructure relief is dependent on, among other things, an investor holding </w:t>
            </w:r>
            <w:r w:rsidR="00143B0E">
              <w:t xml:space="preserve">membership </w:t>
            </w:r>
            <w:r w:rsidR="00217D59" w:rsidRPr="00217D59">
              <w:t xml:space="preserve">interests (shares) in the CCIV </w:t>
            </w:r>
            <w:r w:rsidR="00444C3F">
              <w:t xml:space="preserve">referable to the ASF </w:t>
            </w:r>
            <w:r w:rsidR="00217D59" w:rsidRPr="00217D59">
              <w:t xml:space="preserve">in the same proportion as it owned </w:t>
            </w:r>
            <w:r w:rsidR="00143B0E">
              <w:t xml:space="preserve">membership </w:t>
            </w:r>
            <w:r w:rsidR="00217D59" w:rsidRPr="00217D59">
              <w:t>interests in the AMIT</w:t>
            </w:r>
            <w:r w:rsidR="00217D59">
              <w:t>.</w:t>
            </w:r>
          </w:p>
        </w:tc>
        <w:tc>
          <w:tcPr>
            <w:tcW w:w="3276" w:type="dxa"/>
          </w:tcPr>
          <w:p w14:paraId="4E95AA2A" w14:textId="77777777" w:rsidR="0016134B" w:rsidRDefault="0016134B" w:rsidP="0016134B">
            <w:pPr>
              <w:pStyle w:val="tabledotpoint"/>
              <w:numPr>
                <w:ilvl w:val="0"/>
                <w:numId w:val="0"/>
              </w:numPr>
            </w:pPr>
            <w:r>
              <w:rPr>
                <w:lang w:eastAsia="en-US"/>
              </w:rPr>
              <w:t>No equivalent.</w:t>
            </w:r>
            <w:r>
              <w:t xml:space="preserve"> </w:t>
            </w:r>
          </w:p>
          <w:p w14:paraId="5EADFF4C" w14:textId="77777777" w:rsidR="0016134B" w:rsidRPr="007A3E14" w:rsidRDefault="0016134B" w:rsidP="0016134B">
            <w:pPr>
              <w:pStyle w:val="tabledotpoint"/>
              <w:numPr>
                <w:ilvl w:val="0"/>
                <w:numId w:val="0"/>
              </w:numPr>
              <w:rPr>
                <w:lang w:eastAsia="en-US"/>
              </w:rPr>
            </w:pPr>
          </w:p>
        </w:tc>
      </w:tr>
      <w:tr w:rsidR="0016134B" w14:paraId="3A67E150" w14:textId="77777777" w:rsidTr="0016134B">
        <w:tc>
          <w:tcPr>
            <w:tcW w:w="3275" w:type="dxa"/>
          </w:tcPr>
          <w:p w14:paraId="7DBE5B93" w14:textId="391F9A8E" w:rsidR="0016134B" w:rsidRPr="00D02B56" w:rsidRDefault="00217D59" w:rsidP="00217D59">
            <w:pPr>
              <w:pStyle w:val="tabletext"/>
              <w:rPr>
                <w:lang w:eastAsia="en-US"/>
              </w:rPr>
            </w:pPr>
            <w:r w:rsidRPr="00217D59">
              <w:rPr>
                <w:lang w:eastAsia="en-US"/>
              </w:rPr>
              <w:t xml:space="preserve">A sub-fund that fails to satisfy the ASF criteria </w:t>
            </w:r>
            <w:r w:rsidR="00617725">
              <w:rPr>
                <w:lang w:eastAsia="en-US"/>
              </w:rPr>
              <w:t>(excluded sub-fund)</w:t>
            </w:r>
            <w:r w:rsidRPr="00217D59">
              <w:rPr>
                <w:lang w:eastAsia="en-US"/>
              </w:rPr>
              <w:t xml:space="preserve"> is subject to taxation at the top corporate tax rate and cannot frank distributions to members as it is not a franking entity</w:t>
            </w:r>
            <w:r>
              <w:rPr>
                <w:lang w:eastAsia="en-US"/>
              </w:rPr>
              <w:t>.</w:t>
            </w:r>
            <w:r w:rsidR="00D02B56">
              <w:rPr>
                <w:lang w:eastAsia="en-US"/>
              </w:rPr>
              <w:t xml:space="preserve"> </w:t>
            </w:r>
            <w:r w:rsidR="00D02B56" w:rsidRPr="00D02B56">
              <w:rPr>
                <w:lang w:eastAsia="en-US"/>
              </w:rPr>
              <w:t xml:space="preserve">CGT roll-over </w:t>
            </w:r>
            <w:r w:rsidR="00D02B56">
              <w:rPr>
                <w:lang w:eastAsia="en-US"/>
              </w:rPr>
              <w:t>relief will be available t</w:t>
            </w:r>
            <w:r w:rsidR="00617725">
              <w:rPr>
                <w:lang w:eastAsia="en-US"/>
              </w:rPr>
              <w:t xml:space="preserve">o facilitate an excluded sub-fund </w:t>
            </w:r>
            <w:r w:rsidR="00D02B56" w:rsidRPr="00D02B56">
              <w:rPr>
                <w:lang w:eastAsia="en-US"/>
              </w:rPr>
              <w:t>to restructure into a new company that is not a CCIV.</w:t>
            </w:r>
          </w:p>
        </w:tc>
        <w:tc>
          <w:tcPr>
            <w:tcW w:w="3276" w:type="dxa"/>
          </w:tcPr>
          <w:p w14:paraId="0ACC079F" w14:textId="77777777" w:rsidR="0016134B" w:rsidRDefault="0016134B" w:rsidP="0016134B">
            <w:pPr>
              <w:pStyle w:val="tabletext"/>
            </w:pPr>
            <w:r>
              <w:rPr>
                <w:lang w:eastAsia="en-US"/>
              </w:rPr>
              <w:t>No equivalent.</w:t>
            </w:r>
            <w:r>
              <w:t xml:space="preserve"> </w:t>
            </w:r>
          </w:p>
          <w:p w14:paraId="504D23EB" w14:textId="77777777" w:rsidR="0016134B" w:rsidRDefault="0016134B" w:rsidP="0016134B">
            <w:pPr>
              <w:pStyle w:val="tabletext"/>
              <w:rPr>
                <w:lang w:eastAsia="en-US"/>
              </w:rPr>
            </w:pPr>
          </w:p>
        </w:tc>
      </w:tr>
      <w:tr w:rsidR="0016134B" w14:paraId="6ED65165" w14:textId="77777777" w:rsidTr="0016134B">
        <w:tc>
          <w:tcPr>
            <w:tcW w:w="3275" w:type="dxa"/>
          </w:tcPr>
          <w:p w14:paraId="20AADCB3" w14:textId="3B3ED3D2" w:rsidR="00046BA0" w:rsidRDefault="00217D59" w:rsidP="00046BA0">
            <w:pPr>
              <w:spacing w:before="40" w:after="40" w:line="259" w:lineRule="auto"/>
              <w:rPr>
                <w:sz w:val="20"/>
                <w:lang w:eastAsia="en-US"/>
              </w:rPr>
            </w:pPr>
            <w:r w:rsidRPr="00217D59">
              <w:rPr>
                <w:sz w:val="20"/>
                <w:lang w:eastAsia="en-US"/>
              </w:rPr>
              <w:t xml:space="preserve">The ‘character flow-through’ model ensures that amounts derived or received by the </w:t>
            </w:r>
            <w:r w:rsidR="00977D1F">
              <w:rPr>
                <w:sz w:val="20"/>
                <w:lang w:eastAsia="en-US"/>
              </w:rPr>
              <w:t>CCIV</w:t>
            </w:r>
            <w:r w:rsidRPr="00217D59">
              <w:rPr>
                <w:sz w:val="20"/>
                <w:lang w:eastAsia="en-US"/>
              </w:rPr>
              <w:t xml:space="preserve"> that are attributed to members retain the character they had in the hands of the </w:t>
            </w:r>
            <w:r w:rsidR="00977D1F">
              <w:rPr>
                <w:sz w:val="20"/>
                <w:lang w:eastAsia="en-US"/>
              </w:rPr>
              <w:t>CCIV</w:t>
            </w:r>
            <w:r w:rsidRPr="00217D59">
              <w:rPr>
                <w:sz w:val="20"/>
                <w:lang w:eastAsia="en-US"/>
              </w:rPr>
              <w:t xml:space="preserve"> for income tax purposes. Therefore, amounts derived or received by the CCIV referable to an ASF that are attributed to members will retain their original character and will not be treated as a dividend unless the amount had the character of a dividend </w:t>
            </w:r>
            <w:r w:rsidR="00046BA0">
              <w:rPr>
                <w:sz w:val="20"/>
                <w:lang w:eastAsia="en-US"/>
              </w:rPr>
              <w:t>when it was derived by the CCIV.</w:t>
            </w:r>
          </w:p>
          <w:p w14:paraId="3E3B85F7" w14:textId="30F116FF" w:rsidR="0016134B" w:rsidRPr="00444C3F" w:rsidRDefault="00217D59" w:rsidP="00046BA0">
            <w:pPr>
              <w:spacing w:before="0" w:after="40" w:line="259" w:lineRule="auto"/>
              <w:rPr>
                <w:sz w:val="20"/>
                <w:lang w:eastAsia="en-US"/>
              </w:rPr>
            </w:pPr>
            <w:r w:rsidRPr="00444C3F">
              <w:rPr>
                <w:sz w:val="20"/>
                <w:lang w:eastAsia="en-US"/>
              </w:rPr>
              <w:t xml:space="preserve">Members </w:t>
            </w:r>
            <w:r w:rsidR="00046BA0" w:rsidRPr="00444C3F">
              <w:rPr>
                <w:sz w:val="20"/>
                <w:lang w:eastAsia="en-US"/>
              </w:rPr>
              <w:t>can</w:t>
            </w:r>
            <w:r w:rsidRPr="00444C3F">
              <w:rPr>
                <w:sz w:val="20"/>
                <w:lang w:eastAsia="en-US"/>
              </w:rPr>
              <w:t xml:space="preserve"> make upward and </w:t>
            </w:r>
            <w:r w:rsidRPr="00444C3F">
              <w:rPr>
                <w:sz w:val="20"/>
                <w:lang w:eastAsia="en-US"/>
              </w:rPr>
              <w:lastRenderedPageBreak/>
              <w:t>downward adjustments to the cost bases of their shares in the CCIV to prevent double taxation that might otherwise arise</w:t>
            </w:r>
            <w:r w:rsidR="00046BA0" w:rsidRPr="00444C3F">
              <w:rPr>
                <w:sz w:val="20"/>
                <w:lang w:eastAsia="en-US"/>
              </w:rPr>
              <w:t>.</w:t>
            </w:r>
          </w:p>
        </w:tc>
        <w:tc>
          <w:tcPr>
            <w:tcW w:w="3276" w:type="dxa"/>
          </w:tcPr>
          <w:p w14:paraId="0C8F2EA6" w14:textId="77777777" w:rsidR="0016134B" w:rsidRDefault="0016134B" w:rsidP="0016134B">
            <w:pPr>
              <w:pStyle w:val="tabletext"/>
              <w:rPr>
                <w:lang w:eastAsia="en-US"/>
              </w:rPr>
            </w:pPr>
            <w:r>
              <w:rPr>
                <w:lang w:eastAsia="en-US"/>
              </w:rPr>
              <w:lastRenderedPageBreak/>
              <w:t xml:space="preserve">No equivalent. </w:t>
            </w:r>
          </w:p>
          <w:p w14:paraId="6BFD4894" w14:textId="77777777" w:rsidR="0016134B" w:rsidRDefault="0016134B" w:rsidP="0016134B">
            <w:pPr>
              <w:pStyle w:val="tabletext"/>
              <w:rPr>
                <w:lang w:eastAsia="en-US"/>
              </w:rPr>
            </w:pPr>
          </w:p>
        </w:tc>
      </w:tr>
    </w:tbl>
    <w:p w14:paraId="2968B45A" w14:textId="77777777" w:rsidR="00B17774" w:rsidRDefault="00B17774" w:rsidP="00B17774">
      <w:pPr>
        <w:pStyle w:val="Heading2"/>
      </w:pPr>
      <w:r>
        <w:lastRenderedPageBreak/>
        <w:t>Detailed explanation of new law</w:t>
      </w:r>
    </w:p>
    <w:p w14:paraId="2C5A220F" w14:textId="0F9A66DA" w:rsidR="00DD6E19" w:rsidRPr="00DD6E19" w:rsidRDefault="00DD6E19" w:rsidP="00DD6E19">
      <w:pPr>
        <w:pStyle w:val="base-text-paragraph"/>
        <w:numPr>
          <w:ilvl w:val="1"/>
          <w:numId w:val="56"/>
        </w:numPr>
      </w:pPr>
      <w:r>
        <w:t>T</w:t>
      </w:r>
      <w:r w:rsidRPr="00C42F91">
        <w:t xml:space="preserve">his </w:t>
      </w:r>
      <w:r>
        <w:t xml:space="preserve">Exposure Draft </w:t>
      </w:r>
      <w:r w:rsidRPr="00C42F91">
        <w:t xml:space="preserve">Bill </w:t>
      </w:r>
      <w:r>
        <w:t>amends the taxation law to specify the tax treatment for a company that is a CCIV</w:t>
      </w:r>
      <w:r w:rsidRPr="00C42F91">
        <w:t xml:space="preserve">. </w:t>
      </w:r>
      <w:r>
        <w:t>The amendments ensure that the taxation treatment of CCIVs broadly aligns with the existing tax treatment of AMITs.</w:t>
      </w:r>
    </w:p>
    <w:p w14:paraId="44895515" w14:textId="59E646C2" w:rsidR="0016134B" w:rsidRPr="00BF3D02" w:rsidRDefault="0016134B" w:rsidP="0016134B">
      <w:pPr>
        <w:pStyle w:val="Heading3"/>
      </w:pPr>
      <w:r w:rsidRPr="00BF3D02">
        <w:t xml:space="preserve">What is a </w:t>
      </w:r>
      <w:r>
        <w:t>CCIV</w:t>
      </w:r>
      <w:r w:rsidRPr="00BF3D02">
        <w:t>?</w:t>
      </w:r>
      <w:r w:rsidR="00EA0618">
        <w:t xml:space="preserve"> </w:t>
      </w:r>
    </w:p>
    <w:p w14:paraId="1FE6922B" w14:textId="026DC68F" w:rsidR="0016134B" w:rsidRDefault="0016134B" w:rsidP="008422FD">
      <w:pPr>
        <w:pStyle w:val="base-text-paragraph"/>
      </w:pPr>
      <w:r w:rsidRPr="00BF3D02">
        <w:t xml:space="preserve">Broadly, a CCIV is a company registered under the </w:t>
      </w:r>
      <w:r w:rsidR="00DD6E19">
        <w:t>Corporations </w:t>
      </w:r>
      <w:r>
        <w:t xml:space="preserve">Act </w:t>
      </w:r>
      <w:r w:rsidRPr="00BF3D02">
        <w:t>that is limited by shares and satisfies certain regulatory requirements, including having a single corporate director and at least one sub</w:t>
      </w:r>
      <w:r w:rsidRPr="00BF3D02">
        <w:noBreakHyphen/>
        <w:t>fund</w:t>
      </w:r>
      <w:r>
        <w:t xml:space="preserve"> at all times</w:t>
      </w:r>
      <w:r w:rsidRPr="00BF3D02">
        <w:t xml:space="preserve">. The corporate director must be a public company that holds an </w:t>
      </w:r>
      <w:r>
        <w:t>Australian financial services licence</w:t>
      </w:r>
      <w:r w:rsidRPr="00BF3D02">
        <w:t xml:space="preserve"> authorising it to operate </w:t>
      </w:r>
      <w:r w:rsidR="00AF75DB">
        <w:t>the</w:t>
      </w:r>
      <w:r w:rsidR="00AF75DB" w:rsidRPr="00BF3D02">
        <w:t xml:space="preserve"> </w:t>
      </w:r>
      <w:r w:rsidRPr="00BF3D02">
        <w:t xml:space="preserve">CCIV. </w:t>
      </w:r>
      <w:r w:rsidR="00D365E6">
        <w:t xml:space="preserve">A </w:t>
      </w:r>
      <w:r>
        <w:t>CCIV</w:t>
      </w:r>
      <w:r w:rsidRPr="00BF3D02">
        <w:t xml:space="preserve"> is primarily </w:t>
      </w:r>
      <w:r w:rsidR="00D365E6" w:rsidRPr="00BF3D02">
        <w:t xml:space="preserve">a </w:t>
      </w:r>
      <w:r w:rsidRPr="00BF3D02">
        <w:t>passive investment vehicle.</w:t>
      </w:r>
    </w:p>
    <w:p w14:paraId="18578966" w14:textId="77777777" w:rsidR="002263BD" w:rsidRDefault="0016134B" w:rsidP="00F8623F">
      <w:pPr>
        <w:pStyle w:val="base-text-paragraph"/>
      </w:pPr>
      <w:r w:rsidRPr="004C06B2">
        <w:t xml:space="preserve">The CCIV </w:t>
      </w:r>
      <w:r w:rsidR="00F26900">
        <w:t xml:space="preserve">is the legal entity and the </w:t>
      </w:r>
      <w:r w:rsidRPr="002E0F25">
        <w:t>sub-funds of a CCIV do not have legal personality</w:t>
      </w:r>
      <w:r w:rsidRPr="005F53BD">
        <w:t>.</w:t>
      </w:r>
      <w:r>
        <w:t xml:space="preserve"> </w:t>
      </w:r>
      <w:r w:rsidR="00F8623F" w:rsidRPr="00F8623F">
        <w:t>The assets and liabilities of a sub-fund are strictly segregated from the assets and liabilities of other sub-funds of the CCIV.</w:t>
      </w:r>
    </w:p>
    <w:p w14:paraId="25C803BC" w14:textId="3ED7D481" w:rsidR="004E399B" w:rsidRDefault="001D3AE7" w:rsidP="00F8623F">
      <w:pPr>
        <w:pStyle w:val="base-text-paragraph"/>
      </w:pPr>
      <w:r>
        <w:t>The allocation of assets and liabilities</w:t>
      </w:r>
      <w:r w:rsidR="000A5CF7">
        <w:t xml:space="preserve"> (which includes tax liabilities)</w:t>
      </w:r>
      <w:r>
        <w:t xml:space="preserve"> to sub-</w:t>
      </w:r>
      <w:r w:rsidR="00A471CB">
        <w:t>funds are discussed in Chapter 6</w:t>
      </w:r>
      <w:r>
        <w:t xml:space="preserve"> of the Regulatory Exposure Draft</w:t>
      </w:r>
      <w:r w:rsidR="00A471CB">
        <w:t xml:space="preserve"> Bill</w:t>
      </w:r>
      <w:r>
        <w:t xml:space="preserve"> Explanatory Materials. </w:t>
      </w:r>
    </w:p>
    <w:p w14:paraId="6BFEA88D" w14:textId="7EAB88B2" w:rsidR="0016134B" w:rsidRPr="00A0184F" w:rsidRDefault="00BB0C16" w:rsidP="0019501A">
      <w:pPr>
        <w:pStyle w:val="Heading3"/>
      </w:pPr>
      <w:r>
        <w:t>What is a s</w:t>
      </w:r>
      <w:r w:rsidR="0016134B" w:rsidRPr="00A0184F">
        <w:t>ub-fund</w:t>
      </w:r>
      <w:r w:rsidR="00DD6E19">
        <w:t xml:space="preserve"> of a CCIV</w:t>
      </w:r>
      <w:r>
        <w:t>?</w:t>
      </w:r>
    </w:p>
    <w:p w14:paraId="1F41187A" w14:textId="6BE6723D" w:rsidR="0016134B" w:rsidRPr="002F1BA1" w:rsidRDefault="0016134B" w:rsidP="0016134B">
      <w:pPr>
        <w:pStyle w:val="base-text-paragraph"/>
      </w:pPr>
      <w:r w:rsidRPr="002F1BA1">
        <w:t>Broadly, a sub</w:t>
      </w:r>
      <w:r w:rsidRPr="002F1BA1">
        <w:noBreakHyphen/>
        <w:t xml:space="preserve">fund </w:t>
      </w:r>
      <w:r w:rsidR="00DD6E19">
        <w:t xml:space="preserve">of a CCIV </w:t>
      </w:r>
      <w:r w:rsidRPr="002F1BA1">
        <w:t xml:space="preserve">is a segregated fund of assets </w:t>
      </w:r>
      <w:r>
        <w:t xml:space="preserve">to </w:t>
      </w:r>
      <w:r w:rsidRPr="002F1BA1">
        <w:t xml:space="preserve">which a class </w:t>
      </w:r>
      <w:r>
        <w:t xml:space="preserve">or classes </w:t>
      </w:r>
      <w:r w:rsidRPr="002F1BA1">
        <w:t>of shares in the CCIV</w:t>
      </w:r>
      <w:r>
        <w:t xml:space="preserve"> are referable</w:t>
      </w:r>
      <w:r w:rsidRPr="002F1BA1">
        <w:t>. The sub</w:t>
      </w:r>
      <w:r w:rsidRPr="002F1BA1">
        <w:noBreakHyphen/>
        <w:t>fund does not have separate</w:t>
      </w:r>
      <w:r w:rsidR="00CB222B">
        <w:t xml:space="preserve"> legal personality (see </w:t>
      </w:r>
      <w:r w:rsidR="00581C06">
        <w:t xml:space="preserve">section 1222Q </w:t>
      </w:r>
      <w:r w:rsidR="00962665">
        <w:t xml:space="preserve">of the Regulatory Exposure Draft </w:t>
      </w:r>
      <w:r w:rsidR="00581C06">
        <w:t>Bill</w:t>
      </w:r>
      <w:r w:rsidRPr="002F1BA1">
        <w:t>).</w:t>
      </w:r>
    </w:p>
    <w:p w14:paraId="1F54C88E" w14:textId="3D708D8A" w:rsidR="0016134B" w:rsidRPr="002F1BA1" w:rsidRDefault="0016134B" w:rsidP="0016134B">
      <w:pPr>
        <w:pStyle w:val="base-text-paragraph"/>
      </w:pPr>
      <w:r w:rsidRPr="002F1BA1">
        <w:t>Each CCIV must have at least one sub</w:t>
      </w:r>
      <w:r w:rsidRPr="002F1BA1">
        <w:noBreakHyphen/>
        <w:t>fund, but may have more than one sub</w:t>
      </w:r>
      <w:r w:rsidRPr="002F1BA1">
        <w:noBreakHyphen/>
        <w:t xml:space="preserve">fund </w:t>
      </w:r>
      <w:r w:rsidRPr="00FD22DB">
        <w:t>(</w:t>
      </w:r>
      <w:r w:rsidR="00FD22DB" w:rsidRPr="00FD22DB">
        <w:t xml:space="preserve">see </w:t>
      </w:r>
      <w:r w:rsidR="00FD22DB">
        <w:t xml:space="preserve">paragraph </w:t>
      </w:r>
      <w:r w:rsidR="00FD22DB" w:rsidRPr="00151936">
        <w:t>1222(d)</w:t>
      </w:r>
      <w:r w:rsidRPr="002F1BA1">
        <w:t xml:space="preserve"> </w:t>
      </w:r>
      <w:r w:rsidR="00887297">
        <w:t xml:space="preserve">of the </w:t>
      </w:r>
      <w:r w:rsidRPr="002F1BA1">
        <w:t>Regulatory Exposure Draft Bill).</w:t>
      </w:r>
      <w:r w:rsidR="00D365E6">
        <w:t xml:space="preserve"> Each sub-fund must relate to a separate part of the CCIV’s business and, taken together, the business of all of the CCIV’s sub-funds must comprise the e</w:t>
      </w:r>
      <w:r w:rsidR="0077508A">
        <w:t>ntire business of the C</w:t>
      </w:r>
      <w:r w:rsidR="00D365E6">
        <w:t>CIV.</w:t>
      </w:r>
    </w:p>
    <w:p w14:paraId="129EA6F6" w14:textId="64C0257D" w:rsidR="0016134B" w:rsidRDefault="0016134B" w:rsidP="0016134B">
      <w:pPr>
        <w:pStyle w:val="base-text-paragraph"/>
      </w:pPr>
      <w:r w:rsidRPr="002F1BA1">
        <w:t>A person is a ‘member of a sub</w:t>
      </w:r>
      <w:r w:rsidRPr="002F1BA1">
        <w:noBreakHyphen/>
        <w:t xml:space="preserve">fund’ if the person is a member of the CCIV and holds one or more shares referable to </w:t>
      </w:r>
      <w:r w:rsidR="003D124B">
        <w:t>that</w:t>
      </w:r>
      <w:r w:rsidRPr="002F1BA1">
        <w:t xml:space="preserve"> sub</w:t>
      </w:r>
      <w:r w:rsidRPr="002F1BA1">
        <w:noBreakHyphen/>
        <w:t xml:space="preserve">fund (see section </w:t>
      </w:r>
      <w:r w:rsidR="002263BD" w:rsidRPr="00151936">
        <w:t>1222Q</w:t>
      </w:r>
      <w:r w:rsidRPr="002F1BA1">
        <w:t xml:space="preserve"> of the Regulatory Exposure Draft Bill). In this regard, a member of a sub</w:t>
      </w:r>
      <w:r w:rsidRPr="002F1BA1">
        <w:noBreakHyphen/>
        <w:t>fund does not directly hold shares in the sub</w:t>
      </w:r>
      <w:r w:rsidRPr="002F1BA1">
        <w:noBreakHyphen/>
        <w:t>fund; rather, they hold shares in the CCIV and those shares are refe</w:t>
      </w:r>
      <w:r>
        <w:t>rable to a particular sub</w:t>
      </w:r>
      <w:r>
        <w:noBreakHyphen/>
        <w:t>fund.</w:t>
      </w:r>
    </w:p>
    <w:p w14:paraId="6B77E7C2" w14:textId="68744B5D" w:rsidR="0016134B" w:rsidRPr="002F1BA1" w:rsidRDefault="0016134B" w:rsidP="0016134B">
      <w:pPr>
        <w:pStyle w:val="base-text-paragraph"/>
      </w:pPr>
      <w:r w:rsidRPr="002F1BA1">
        <w:lastRenderedPageBreak/>
        <w:t>The concept of a sub-fund allows managed funds to operate with an ‘umbrella structure’, such that investors in respect of a particular sub</w:t>
      </w:r>
      <w:r>
        <w:noBreakHyphen/>
      </w:r>
      <w:r w:rsidRPr="002F1BA1">
        <w:t xml:space="preserve">fund of a CCIV are quarantined from the consequences of activities in respect of other sub-funds of the CCIV. This </w:t>
      </w:r>
      <w:r w:rsidR="00F8623F">
        <w:t xml:space="preserve">is achieved through </w:t>
      </w:r>
      <w:r w:rsidRPr="002F1BA1">
        <w:t xml:space="preserve">the </w:t>
      </w:r>
      <w:r w:rsidR="00F8623F">
        <w:t xml:space="preserve">strict </w:t>
      </w:r>
      <w:r w:rsidRPr="002F1BA1">
        <w:t>segregation</w:t>
      </w:r>
      <w:r>
        <w:t xml:space="preserve"> of assets and liabilities </w:t>
      </w:r>
      <w:r w:rsidR="00F8623F">
        <w:t>of each</w:t>
      </w:r>
      <w:r w:rsidRPr="002F1BA1">
        <w:t xml:space="preserve"> sub</w:t>
      </w:r>
      <w:r w:rsidR="00F8623F">
        <w:t>-fund</w:t>
      </w:r>
      <w:r w:rsidR="00D04DC1">
        <w:t xml:space="preserve">. </w:t>
      </w:r>
      <w:r w:rsidR="00D04DC1" w:rsidRPr="00142D7C">
        <w:t xml:space="preserve">An </w:t>
      </w:r>
      <w:r w:rsidR="00DD6E19" w:rsidRPr="00142D7C">
        <w:t>ASF</w:t>
      </w:r>
      <w:r w:rsidR="00576607" w:rsidRPr="00142D7C">
        <w:t xml:space="preserve"> must meet eligibility rules that are </w:t>
      </w:r>
      <w:r w:rsidRPr="00142D7C">
        <w:t xml:space="preserve">similar to </w:t>
      </w:r>
      <w:r w:rsidR="00576607" w:rsidRPr="00142D7C">
        <w:t xml:space="preserve">the </w:t>
      </w:r>
      <w:r w:rsidRPr="00142D7C">
        <w:t xml:space="preserve">eligibility rules </w:t>
      </w:r>
      <w:r w:rsidR="00576607" w:rsidRPr="00142D7C">
        <w:t>that a MIT must satisfy to qualify as an AMIT</w:t>
      </w:r>
      <w:r w:rsidRPr="00142D7C">
        <w:t>.</w:t>
      </w:r>
      <w:r w:rsidRPr="002F1BA1">
        <w:t xml:space="preserve"> </w:t>
      </w:r>
    </w:p>
    <w:p w14:paraId="5AD12712" w14:textId="1760AC5F" w:rsidR="00F6032B" w:rsidRDefault="00C80171" w:rsidP="00F6032B">
      <w:pPr>
        <w:pStyle w:val="Heading3"/>
      </w:pPr>
      <w:r>
        <w:t xml:space="preserve">CCIV </w:t>
      </w:r>
      <w:r w:rsidR="00F8623F">
        <w:t xml:space="preserve">treated as </w:t>
      </w:r>
      <w:r w:rsidR="00FB676A">
        <w:t xml:space="preserve">a </w:t>
      </w:r>
      <w:r w:rsidR="00F8623F">
        <w:t>separate compan</w:t>
      </w:r>
      <w:r w:rsidR="00FB676A">
        <w:t>y</w:t>
      </w:r>
      <w:r w:rsidR="009011DD">
        <w:t xml:space="preserve"> in relation to each sub-fund</w:t>
      </w:r>
      <w:r w:rsidR="00887297">
        <w:t xml:space="preserve"> </w:t>
      </w:r>
    </w:p>
    <w:p w14:paraId="393E2745" w14:textId="2938A7D3" w:rsidR="008C77A0" w:rsidRDefault="005519C3" w:rsidP="00640685">
      <w:pPr>
        <w:pStyle w:val="base-text-paragraph"/>
      </w:pPr>
      <w:r>
        <w:t xml:space="preserve">Schedule 3 to the Exposure Draft </w:t>
      </w:r>
      <w:r w:rsidRPr="00C42F91">
        <w:t>Bill</w:t>
      </w:r>
      <w:r>
        <w:t xml:space="preserve"> ensures that </w:t>
      </w:r>
      <w:r w:rsidR="009011DD">
        <w:t xml:space="preserve">a </w:t>
      </w:r>
      <w:r w:rsidR="004F1DAC">
        <w:t xml:space="preserve">CCIV </w:t>
      </w:r>
      <w:r>
        <w:t xml:space="preserve">is treated </w:t>
      </w:r>
      <w:r w:rsidR="00260AC6">
        <w:t xml:space="preserve">as </w:t>
      </w:r>
      <w:r w:rsidR="004F1DAC">
        <w:t xml:space="preserve">if </w:t>
      </w:r>
      <w:r w:rsidR="009011DD">
        <w:t xml:space="preserve">it were a separate company in relation to each sub-fund </w:t>
      </w:r>
      <w:r w:rsidR="00260AC6">
        <w:t xml:space="preserve">for </w:t>
      </w:r>
      <w:r w:rsidR="00381C3F">
        <w:t>the</w:t>
      </w:r>
      <w:r w:rsidR="00260AC6">
        <w:t xml:space="preserve"> purposes</w:t>
      </w:r>
      <w:r w:rsidR="00381C3F">
        <w:t xml:space="preserve"> of applying the taxation law</w:t>
      </w:r>
      <w:r>
        <w:t>.</w:t>
      </w:r>
    </w:p>
    <w:p w14:paraId="43BA3859" w14:textId="576598B4" w:rsidR="00F97006" w:rsidRDefault="00F97006" w:rsidP="00E3285A">
      <w:pPr>
        <w:pStyle w:val="base-text-paragraph"/>
      </w:pPr>
      <w:r>
        <w:t>Under the regulatory regime, a CCIV is a legal entity. A sub</w:t>
      </w:r>
      <w:r>
        <w:noBreakHyphen/>
        <w:t xml:space="preserve">fund of a CCIV does not have separate legal personality and the business of the CCIV is referable to its sub-funds. </w:t>
      </w:r>
    </w:p>
    <w:p w14:paraId="36D45FEC" w14:textId="0E1CB808" w:rsidR="00E3285A" w:rsidRDefault="00E3285A" w:rsidP="00E3285A">
      <w:pPr>
        <w:pStyle w:val="base-text-paragraph"/>
      </w:pPr>
      <w:r>
        <w:t>As outlined i</w:t>
      </w:r>
      <w:r w:rsidR="00151936">
        <w:t xml:space="preserve">n paragraph </w:t>
      </w:r>
      <w:r w:rsidR="00151936" w:rsidRPr="00AE4936">
        <w:t>6.12</w:t>
      </w:r>
      <w:r>
        <w:t xml:space="preserve"> of the Regulatory Exposure Draft </w:t>
      </w:r>
      <w:r w:rsidR="002B4B9B">
        <w:t xml:space="preserve">Bill </w:t>
      </w:r>
      <w:r>
        <w:t>Explanatory Materials</w:t>
      </w:r>
      <w:r w:rsidR="00D14D41">
        <w:t xml:space="preserve"> (</w:t>
      </w:r>
      <w:r w:rsidR="00F97006">
        <w:t xml:space="preserve">see </w:t>
      </w:r>
      <w:r w:rsidR="00F97006" w:rsidRPr="00F97006">
        <w:t xml:space="preserve">sections </w:t>
      </w:r>
      <w:r w:rsidR="00F97006" w:rsidRPr="00151936">
        <w:t>1222Q and 1233B</w:t>
      </w:r>
      <w:r w:rsidR="00F97006">
        <w:t xml:space="preserve"> of the Regulatory Exposure Draft Bill)</w:t>
      </w:r>
      <w:r>
        <w:t xml:space="preserve">: </w:t>
      </w:r>
    </w:p>
    <w:p w14:paraId="45C4544A" w14:textId="1C56EA41" w:rsidR="00F97006" w:rsidRDefault="00F97006" w:rsidP="00F97006">
      <w:pPr>
        <w:pStyle w:val="exampletext"/>
      </w:pPr>
      <w:r>
        <w:t>…every part of the business of the CCIV must be referable to a sub</w:t>
      </w:r>
      <w:r w:rsidR="00576607">
        <w:noBreakHyphen/>
      </w:r>
      <w:r>
        <w:t xml:space="preserve">fund and no part of a CCIV’s business can be referable to more than one sub-fund. If a CCIV has only one sub-fund, then the entire business of the CCIV is referable to that sub-fund. If a CCIV has multiple sub-funds, then each sub-fund must comprise a particular part of the CCIV’s business and the business of every sub-fund of a CCIV must, when taken together, constitute the entire business of the CCIV. </w:t>
      </w:r>
    </w:p>
    <w:p w14:paraId="4C54A7D6" w14:textId="002A36AF" w:rsidR="00E3285A" w:rsidRDefault="00F97006" w:rsidP="00060D5B">
      <w:pPr>
        <w:pStyle w:val="base-text-paragraph"/>
      </w:pPr>
      <w:r>
        <w:t xml:space="preserve">The quarantining of the business of a particular sub-fund from the business of all the other sub-funds of the CCIV is achieved </w:t>
      </w:r>
      <w:r w:rsidR="00D61343">
        <w:t>by strictly segregating the assets and liabilities of each sub-fund from the assets and liabilities of the other sub-funds of the CCIV (</w:t>
      </w:r>
      <w:r w:rsidR="00D61343" w:rsidRPr="00151936">
        <w:t xml:space="preserve">see </w:t>
      </w:r>
      <w:r w:rsidR="00151936" w:rsidRPr="00151936">
        <w:t>Chapter 6</w:t>
      </w:r>
      <w:r w:rsidR="00D61343" w:rsidRPr="00151936">
        <w:t xml:space="preserve"> of the Regulatory Exposure Draft </w:t>
      </w:r>
      <w:r w:rsidR="002B4B9B">
        <w:t xml:space="preserve">Bill </w:t>
      </w:r>
      <w:r w:rsidR="00D61343" w:rsidRPr="00151936">
        <w:t>Explanatory Materials).</w:t>
      </w:r>
    </w:p>
    <w:p w14:paraId="41028126" w14:textId="74D74C0C" w:rsidR="00892442" w:rsidRPr="00142D7C" w:rsidRDefault="00731119" w:rsidP="000B35CC">
      <w:pPr>
        <w:pStyle w:val="base-text-paragraph"/>
      </w:pPr>
      <w:r>
        <w:t xml:space="preserve">Consistent with </w:t>
      </w:r>
      <w:r w:rsidR="00F6032B">
        <w:t xml:space="preserve">the segregation principle under the </w:t>
      </w:r>
      <w:r w:rsidR="00142D7C">
        <w:t>CCIV</w:t>
      </w:r>
      <w:r>
        <w:t xml:space="preserve"> </w:t>
      </w:r>
      <w:r w:rsidR="00F6032B">
        <w:t xml:space="preserve">regulatory </w:t>
      </w:r>
      <w:r>
        <w:t>framework</w:t>
      </w:r>
      <w:r w:rsidR="00F6032B">
        <w:t>,</w:t>
      </w:r>
      <w:r w:rsidR="00BC636F" w:rsidRPr="00BC636F">
        <w:t xml:space="preserve"> </w:t>
      </w:r>
      <w:r w:rsidR="00BC636F">
        <w:t xml:space="preserve">a CCIV is treated as a separate company in relation </w:t>
      </w:r>
      <w:r w:rsidR="005519C3">
        <w:t>to</w:t>
      </w:r>
      <w:r w:rsidR="00BC636F">
        <w:t xml:space="preserve"> each sub-</w:t>
      </w:r>
      <w:r w:rsidR="00BC636F" w:rsidRPr="00142D7C">
        <w:t xml:space="preserve">fund </w:t>
      </w:r>
      <w:r w:rsidR="00576607" w:rsidRPr="00142D7C">
        <w:t>(a CCIV sub</w:t>
      </w:r>
      <w:r w:rsidR="00576607" w:rsidRPr="00142D7C">
        <w:noBreakHyphen/>
        <w:t xml:space="preserve">fund company) </w:t>
      </w:r>
      <w:r w:rsidR="005519C3" w:rsidRPr="00142D7C">
        <w:t>for taxation purposes</w:t>
      </w:r>
      <w:r w:rsidR="00BC636F" w:rsidRPr="00142D7C">
        <w:t xml:space="preserve">. </w:t>
      </w:r>
    </w:p>
    <w:p w14:paraId="73276C88" w14:textId="3BF96443" w:rsidR="00576607" w:rsidRPr="00142D7C" w:rsidRDefault="00892442" w:rsidP="00F6032B">
      <w:pPr>
        <w:pStyle w:val="base-text-paragraph"/>
      </w:pPr>
      <w:r w:rsidRPr="00142D7C">
        <w:t xml:space="preserve">That is, </w:t>
      </w:r>
      <w:r w:rsidR="00F6032B" w:rsidRPr="00142D7C">
        <w:t>the provisions of a taxation law</w:t>
      </w:r>
      <w:r w:rsidR="00576607" w:rsidRPr="00142D7C">
        <w:t xml:space="preserve"> are applied as if the CCIV were a separate company in relation to each sub-fund for the purposes of:</w:t>
      </w:r>
    </w:p>
    <w:p w14:paraId="175B8FDC" w14:textId="3867234D" w:rsidR="00576607" w:rsidRPr="00142D7C" w:rsidRDefault="000B35CC" w:rsidP="00576607">
      <w:pPr>
        <w:pStyle w:val="dotpoint"/>
      </w:pPr>
      <w:r w:rsidRPr="00142D7C">
        <w:t>ascertaining the existence or extent, under a taxation law, of an obligation</w:t>
      </w:r>
      <w:r w:rsidR="004F1DAC" w:rsidRPr="00142D7C">
        <w:t xml:space="preserve"> </w:t>
      </w:r>
      <w:r w:rsidR="00892442" w:rsidRPr="00142D7C">
        <w:t>(</w:t>
      </w:r>
      <w:r w:rsidR="004F1DAC" w:rsidRPr="00142D7C">
        <w:t>includ</w:t>
      </w:r>
      <w:r w:rsidR="00892442" w:rsidRPr="00142D7C">
        <w:t>ing</w:t>
      </w:r>
      <w:r w:rsidR="004F1DAC" w:rsidRPr="00142D7C">
        <w:t xml:space="preserve"> a liability</w:t>
      </w:r>
      <w:r w:rsidR="00892442" w:rsidRPr="00142D7C">
        <w:t>)</w:t>
      </w:r>
      <w:r w:rsidR="004D6F24" w:rsidRPr="00142D7C">
        <w:t xml:space="preserve"> and complying with that obligation</w:t>
      </w:r>
      <w:r w:rsidR="00576607" w:rsidRPr="00142D7C">
        <w:t>;</w:t>
      </w:r>
      <w:r w:rsidRPr="00142D7C">
        <w:t xml:space="preserve"> or </w:t>
      </w:r>
    </w:p>
    <w:p w14:paraId="02014AF1" w14:textId="1B2461D8" w:rsidR="00576607" w:rsidRPr="00142D7C" w:rsidRDefault="00576607" w:rsidP="008D2971">
      <w:pPr>
        <w:pStyle w:val="dotpoint"/>
        <w:ind w:left="2269"/>
      </w:pPr>
      <w:proofErr w:type="gramStart"/>
      <w:r w:rsidRPr="00142D7C">
        <w:t>ascertaining</w:t>
      </w:r>
      <w:proofErr w:type="gramEnd"/>
      <w:r w:rsidRPr="00142D7C">
        <w:t xml:space="preserve"> the existence or extent, under a taxation law, of</w:t>
      </w:r>
      <w:r w:rsidR="000B35CC" w:rsidRPr="00142D7C">
        <w:t xml:space="preserve"> </w:t>
      </w:r>
      <w:r w:rsidR="004F1DAC" w:rsidRPr="00142D7C">
        <w:t xml:space="preserve">an entitlement </w:t>
      </w:r>
      <w:r w:rsidR="00892442" w:rsidRPr="00142D7C">
        <w:t>(</w:t>
      </w:r>
      <w:r w:rsidR="004F1DAC" w:rsidRPr="00142D7C">
        <w:t>includ</w:t>
      </w:r>
      <w:r w:rsidR="00892442" w:rsidRPr="00142D7C">
        <w:t>ing</w:t>
      </w:r>
      <w:r w:rsidR="004F1DAC" w:rsidRPr="00142D7C">
        <w:t xml:space="preserve"> a right to act or a right not to act</w:t>
      </w:r>
      <w:r w:rsidR="00892442" w:rsidRPr="00142D7C">
        <w:t>)</w:t>
      </w:r>
      <w:r w:rsidR="004D6F24" w:rsidRPr="00142D7C">
        <w:t xml:space="preserve"> and exercising that entitlement</w:t>
      </w:r>
      <w:r w:rsidR="00E948E1" w:rsidRPr="00142D7C">
        <w:t>.</w:t>
      </w:r>
    </w:p>
    <w:p w14:paraId="513C5B6F" w14:textId="77CE0134" w:rsidR="004F1DAC" w:rsidRPr="00892442" w:rsidRDefault="00AE1CFB" w:rsidP="00576607">
      <w:pPr>
        <w:pStyle w:val="base-text-paragraphnonumbers"/>
        <w:rPr>
          <w:rStyle w:val="Referencingstyle"/>
          <w:b w:val="0"/>
          <w:i w:val="0"/>
          <w:sz w:val="22"/>
        </w:rPr>
      </w:pPr>
      <w:r w:rsidRPr="00BF3D02">
        <w:rPr>
          <w:rStyle w:val="Referencingstyle"/>
        </w:rPr>
        <w:lastRenderedPageBreak/>
        <w:t>[Schedule</w:t>
      </w:r>
      <w:r>
        <w:rPr>
          <w:rStyle w:val="Referencingstyle"/>
        </w:rPr>
        <w:t xml:space="preserve"> 3</w:t>
      </w:r>
      <w:r w:rsidRPr="00BF3D02">
        <w:rPr>
          <w:rStyle w:val="Referencingstyle"/>
        </w:rPr>
        <w:t>, item</w:t>
      </w:r>
      <w:r>
        <w:rPr>
          <w:rStyle w:val="Referencingstyle"/>
        </w:rPr>
        <w:t xml:space="preserve"> 1</w:t>
      </w:r>
      <w:r w:rsidRPr="00BF3D02">
        <w:rPr>
          <w:rStyle w:val="Referencingstyle"/>
        </w:rPr>
        <w:t xml:space="preserve">, </w:t>
      </w:r>
      <w:r w:rsidR="004D6F24">
        <w:rPr>
          <w:rStyle w:val="Referencingstyle"/>
        </w:rPr>
        <w:t>subsections 195-105(1) and (2)</w:t>
      </w:r>
      <w:r w:rsidRPr="00BF3D02">
        <w:rPr>
          <w:rStyle w:val="Referencingstyle"/>
        </w:rPr>
        <w:t>]</w:t>
      </w:r>
    </w:p>
    <w:p w14:paraId="522497AC" w14:textId="10454289" w:rsidR="00892442" w:rsidRDefault="00892442" w:rsidP="00892442">
      <w:pPr>
        <w:pStyle w:val="base-text-paragraph"/>
      </w:pPr>
      <w:r>
        <w:t xml:space="preserve">For these purposes, an obligation or an entitlement in relation to </w:t>
      </w:r>
      <w:r w:rsidRPr="003C24D6">
        <w:t xml:space="preserve">a </w:t>
      </w:r>
      <w:r>
        <w:t>particular CCIV sub-fund company is ascertained as if:</w:t>
      </w:r>
    </w:p>
    <w:p w14:paraId="62588B51" w14:textId="74C67992" w:rsidR="00892442" w:rsidRDefault="00892442" w:rsidP="00892442">
      <w:pPr>
        <w:pStyle w:val="dotpoint"/>
      </w:pPr>
      <w:r>
        <w:t xml:space="preserve">the only business carried on by the CCIV were the part of the CCIVs business that is the business of the </w:t>
      </w:r>
      <w:r w:rsidR="00127304">
        <w:t xml:space="preserve">particular CCIV sub-fund; </w:t>
      </w:r>
      <w:r w:rsidR="00576607">
        <w:t>and</w:t>
      </w:r>
    </w:p>
    <w:p w14:paraId="32A2EEC0" w14:textId="2AF54C56" w:rsidR="00127304" w:rsidRDefault="00127304" w:rsidP="00892442">
      <w:pPr>
        <w:pStyle w:val="dotpoint"/>
      </w:pPr>
      <w:proofErr w:type="gramStart"/>
      <w:r>
        <w:t>any</w:t>
      </w:r>
      <w:proofErr w:type="gramEnd"/>
      <w:r>
        <w:t xml:space="preserve"> business of the CCIV that is not the business of that particular CCIV sub-fund were part of a business carried on by another company.</w:t>
      </w:r>
    </w:p>
    <w:p w14:paraId="4C7D5FC9" w14:textId="2A9946F8" w:rsidR="00892442" w:rsidRDefault="00892442" w:rsidP="00127304">
      <w:pPr>
        <w:pStyle w:val="base-text-paragraphnonumbers"/>
      </w:pPr>
      <w:r w:rsidRPr="00BF3D02">
        <w:rPr>
          <w:rStyle w:val="Referencingstyle"/>
        </w:rPr>
        <w:t>[Schedule</w:t>
      </w:r>
      <w:r>
        <w:rPr>
          <w:rStyle w:val="Referencingstyle"/>
        </w:rPr>
        <w:t xml:space="preserve"> 3</w:t>
      </w:r>
      <w:r w:rsidRPr="00BF3D02">
        <w:rPr>
          <w:rStyle w:val="Referencingstyle"/>
        </w:rPr>
        <w:t>, item</w:t>
      </w:r>
      <w:r>
        <w:rPr>
          <w:rStyle w:val="Referencingstyle"/>
        </w:rPr>
        <w:t xml:space="preserve"> 1</w:t>
      </w:r>
      <w:r w:rsidRPr="00BF3D02">
        <w:rPr>
          <w:rStyle w:val="Referencingstyle"/>
        </w:rPr>
        <w:t xml:space="preserve">, </w:t>
      </w:r>
      <w:proofErr w:type="gramStart"/>
      <w:r w:rsidR="004D6F24">
        <w:rPr>
          <w:rStyle w:val="Referencingstyle"/>
        </w:rPr>
        <w:t>subsection</w:t>
      </w:r>
      <w:proofErr w:type="gramEnd"/>
      <w:r w:rsidR="004D6F24">
        <w:rPr>
          <w:rStyle w:val="Referencingstyle"/>
        </w:rPr>
        <w:t xml:space="preserve"> 195-105(3</w:t>
      </w:r>
      <w:r>
        <w:rPr>
          <w:rStyle w:val="Referencingstyle"/>
        </w:rPr>
        <w:t>)</w:t>
      </w:r>
      <w:r w:rsidRPr="00BF3D02">
        <w:rPr>
          <w:rStyle w:val="Referencingstyle"/>
        </w:rPr>
        <w:t>]</w:t>
      </w:r>
    </w:p>
    <w:p w14:paraId="440FC5E8" w14:textId="26441A1C" w:rsidR="00127304" w:rsidRDefault="00127304" w:rsidP="00127304">
      <w:pPr>
        <w:pStyle w:val="base-text-paragraph"/>
      </w:pPr>
      <w:r>
        <w:t>For the avoidance of doubt, a</w:t>
      </w:r>
      <w:r w:rsidRPr="00A21D05">
        <w:t xml:space="preserve">ny </w:t>
      </w:r>
      <w:r>
        <w:t xml:space="preserve">obligation or entitlement ascertained in relation to a particular CCIV sub-fund company is an obligation or entitlement of the CCIV (given it is the CCIV and not the sub-fund that has separate legal personality). Such liabilities or entitlements are separate from any other liability or entitlement of the CCIV under a taxation law. </w:t>
      </w:r>
      <w:r w:rsidRPr="00BF3D02">
        <w:rPr>
          <w:rStyle w:val="Referencingstyle"/>
        </w:rPr>
        <w:t>[Schedule</w:t>
      </w:r>
      <w:r>
        <w:rPr>
          <w:rStyle w:val="Referencingstyle"/>
        </w:rPr>
        <w:t xml:space="preserve"> 3</w:t>
      </w:r>
      <w:r w:rsidRPr="00BF3D02">
        <w:rPr>
          <w:rStyle w:val="Referencingstyle"/>
        </w:rPr>
        <w:t>, item</w:t>
      </w:r>
      <w:r>
        <w:rPr>
          <w:rStyle w:val="Referencingstyle"/>
        </w:rPr>
        <w:t xml:space="preserve"> 1</w:t>
      </w:r>
      <w:r w:rsidRPr="00BF3D02">
        <w:rPr>
          <w:rStyle w:val="Referencingstyle"/>
        </w:rPr>
        <w:t xml:space="preserve">, subsection </w:t>
      </w:r>
      <w:r w:rsidR="004D6F24">
        <w:rPr>
          <w:rStyle w:val="Referencingstyle"/>
        </w:rPr>
        <w:t>195-105(5</w:t>
      </w:r>
      <w:r w:rsidRPr="00BF3D02">
        <w:rPr>
          <w:rStyle w:val="Referencingstyle"/>
        </w:rPr>
        <w:t>)]</w:t>
      </w:r>
    </w:p>
    <w:p w14:paraId="25C92CC0" w14:textId="12F14B7A" w:rsidR="00824B16" w:rsidRDefault="00127304" w:rsidP="00824B16">
      <w:pPr>
        <w:pStyle w:val="base-text-paragraph"/>
      </w:pPr>
      <w:r>
        <w:t>T</w:t>
      </w:r>
      <w:r w:rsidR="00892442">
        <w:t xml:space="preserve">he CCIV will need to separately work out the income tax position for each CCIV sub-fund company. </w:t>
      </w:r>
      <w:r>
        <w:t xml:space="preserve">Consequently, for example, </w:t>
      </w:r>
      <w:r w:rsidR="00824B16">
        <w:t xml:space="preserve">where a provision of a taxation law provides for a choice or election to be made, </w:t>
      </w:r>
      <w:r w:rsidR="00824B16" w:rsidRPr="00142D7C">
        <w:t xml:space="preserve">the CCIV must make </w:t>
      </w:r>
      <w:r w:rsidR="00576607" w:rsidRPr="00142D7C">
        <w:t>a separate</w:t>
      </w:r>
      <w:r w:rsidR="00824B16" w:rsidRPr="00142D7C">
        <w:t xml:space="preserve"> choice or election </w:t>
      </w:r>
      <w:r w:rsidR="00576607" w:rsidRPr="00142D7C">
        <w:t>for</w:t>
      </w:r>
      <w:r w:rsidR="00824B16" w:rsidRPr="00142D7C">
        <w:t xml:space="preserve"> each </w:t>
      </w:r>
      <w:r w:rsidR="00892442" w:rsidRPr="00142D7C">
        <w:t>CCIV sub-fund company</w:t>
      </w:r>
      <w:r w:rsidR="00824B16" w:rsidRPr="00142D7C">
        <w:t>.</w:t>
      </w:r>
      <w:r w:rsidR="00824B16">
        <w:t xml:space="preserve"> </w:t>
      </w:r>
    </w:p>
    <w:p w14:paraId="063261CD" w14:textId="7DF2D5F6" w:rsidR="004C2286" w:rsidRPr="00142D7C" w:rsidRDefault="00721F89" w:rsidP="004C2286">
      <w:pPr>
        <w:pStyle w:val="base-text-paragraph"/>
      </w:pPr>
      <w:r w:rsidRPr="00142D7C">
        <w:t>T</w:t>
      </w:r>
      <w:r w:rsidR="004C2286" w:rsidRPr="00142D7C">
        <w:t xml:space="preserve">he CCIV bears a </w:t>
      </w:r>
      <w:r w:rsidRPr="00142D7C">
        <w:t xml:space="preserve">separate </w:t>
      </w:r>
      <w:r w:rsidR="004C2286" w:rsidRPr="00142D7C">
        <w:t xml:space="preserve">tax liability for each </w:t>
      </w:r>
      <w:r w:rsidRPr="00142D7C">
        <w:t xml:space="preserve">CCIV </w:t>
      </w:r>
      <w:r w:rsidR="004C2286" w:rsidRPr="00142D7C">
        <w:t xml:space="preserve">sub-fund </w:t>
      </w:r>
      <w:r w:rsidRPr="00142D7C">
        <w:t xml:space="preserve">company. The </w:t>
      </w:r>
      <w:r w:rsidR="004C2286" w:rsidRPr="00142D7C">
        <w:t xml:space="preserve">separate tax labilities </w:t>
      </w:r>
      <w:r w:rsidRPr="00142D7C">
        <w:t>for each CCIV sub</w:t>
      </w:r>
      <w:r w:rsidRPr="00142D7C">
        <w:noBreakHyphen/>
        <w:t xml:space="preserve">fund company </w:t>
      </w:r>
      <w:r w:rsidR="006F3A52">
        <w:t>cannot be aggregated</w:t>
      </w:r>
      <w:r w:rsidR="004C2286" w:rsidRPr="00142D7C">
        <w:t xml:space="preserve"> (see section 1</w:t>
      </w:r>
      <w:r w:rsidR="002263BD" w:rsidRPr="00142D7C">
        <w:t>233L</w:t>
      </w:r>
      <w:r w:rsidR="004C2286" w:rsidRPr="00142D7C">
        <w:t xml:space="preserve"> of the</w:t>
      </w:r>
      <w:r w:rsidR="006F3A52">
        <w:t xml:space="preserve"> Regulatory Exposure Draft Bill</w:t>
      </w:r>
      <w:r w:rsidR="004C2286" w:rsidRPr="00142D7C">
        <w:t>)</w:t>
      </w:r>
      <w:r w:rsidR="006F3A52">
        <w:t>.</w:t>
      </w:r>
      <w:r w:rsidR="004C2286" w:rsidRPr="00142D7C">
        <w:t xml:space="preserve"> </w:t>
      </w:r>
    </w:p>
    <w:p w14:paraId="0244631A" w14:textId="1B2E92BD" w:rsidR="00365616" w:rsidRDefault="00365616" w:rsidP="00365616">
      <w:pPr>
        <w:pStyle w:val="base-text-paragraph"/>
        <w:numPr>
          <w:ilvl w:val="1"/>
          <w:numId w:val="53"/>
        </w:numPr>
      </w:pPr>
      <w:r w:rsidRPr="00365616">
        <w:rPr>
          <w:rStyle w:val="Referencingstyle"/>
          <w:b w:val="0"/>
          <w:i w:val="0"/>
          <w:sz w:val="22"/>
        </w:rPr>
        <w:t>The same principles that apply in working out the obligations or entitlements of the CCIV also extend to the Commissioner.</w:t>
      </w:r>
      <w:r w:rsidRPr="00365616">
        <w:rPr>
          <w:rStyle w:val="Referencingstyle"/>
        </w:rPr>
        <w:t xml:space="preserve"> </w:t>
      </w:r>
      <w:r w:rsidRPr="00BF3D02">
        <w:rPr>
          <w:rStyle w:val="Referencingstyle"/>
        </w:rPr>
        <w:t>[Schedule</w:t>
      </w:r>
      <w:r>
        <w:rPr>
          <w:rStyle w:val="Referencingstyle"/>
        </w:rPr>
        <w:t xml:space="preserve"> 3</w:t>
      </w:r>
      <w:r w:rsidRPr="00BF3D02">
        <w:rPr>
          <w:rStyle w:val="Referencingstyle"/>
        </w:rPr>
        <w:t>, item</w:t>
      </w:r>
      <w:r w:rsidR="00576607">
        <w:rPr>
          <w:rStyle w:val="Referencingstyle"/>
        </w:rPr>
        <w:t> </w:t>
      </w:r>
      <w:r>
        <w:rPr>
          <w:rStyle w:val="Referencingstyle"/>
        </w:rPr>
        <w:t>1, subparagraphs 195</w:t>
      </w:r>
      <w:r w:rsidRPr="00BF3D02">
        <w:rPr>
          <w:rStyle w:val="Referencingstyle"/>
        </w:rPr>
        <w:noBreakHyphen/>
      </w:r>
      <w:r>
        <w:rPr>
          <w:rStyle w:val="Referencingstyle"/>
        </w:rPr>
        <w:t>105(2</w:t>
      </w:r>
      <w:r w:rsidRPr="00BF3D02">
        <w:rPr>
          <w:rStyle w:val="Referencingstyle"/>
        </w:rPr>
        <w:t>)</w:t>
      </w:r>
      <w:r>
        <w:rPr>
          <w:rStyle w:val="Referencingstyle"/>
        </w:rPr>
        <w:t>(a)(iii) and (c)(iii)</w:t>
      </w:r>
      <w:r w:rsidRPr="00BF3D02">
        <w:rPr>
          <w:rStyle w:val="Referencingstyle"/>
        </w:rPr>
        <w:t>]</w:t>
      </w:r>
    </w:p>
    <w:p w14:paraId="0B3E673E" w14:textId="2DAC2C0D" w:rsidR="00B46D37" w:rsidRDefault="00CF5B2B" w:rsidP="00B91C91">
      <w:pPr>
        <w:pStyle w:val="base-text-paragraph"/>
        <w:numPr>
          <w:ilvl w:val="1"/>
          <w:numId w:val="53"/>
        </w:numPr>
      </w:pPr>
      <w:r>
        <w:t>As the CCIV is treated as if it were a separate company in relation to each sub-fund</w:t>
      </w:r>
      <w:r w:rsidR="00AC2C9E">
        <w:t>,</w:t>
      </w:r>
      <w:r w:rsidR="00B46D37">
        <w:t xml:space="preserve"> </w:t>
      </w:r>
      <w:r w:rsidR="00AC2C9E">
        <w:t xml:space="preserve">administrative obligations and entitlements of the CCIV </w:t>
      </w:r>
      <w:r w:rsidR="003E60F8">
        <w:t>will</w:t>
      </w:r>
      <w:r w:rsidR="00AC2C9E">
        <w:t xml:space="preserve"> apply </w:t>
      </w:r>
      <w:r w:rsidR="003E60F8">
        <w:t xml:space="preserve">separately </w:t>
      </w:r>
      <w:r w:rsidR="00AC2C9E">
        <w:t xml:space="preserve">to each </w:t>
      </w:r>
      <w:r>
        <w:t xml:space="preserve">CCIV </w:t>
      </w:r>
      <w:r w:rsidR="00AC2C9E">
        <w:t>sub-fund</w:t>
      </w:r>
      <w:r>
        <w:t xml:space="preserve"> company</w:t>
      </w:r>
      <w:r w:rsidR="00AC2C9E">
        <w:t>.</w:t>
      </w:r>
      <w:r w:rsidR="00AC2C9E" w:rsidRPr="00AC2C9E">
        <w:t xml:space="preserve"> </w:t>
      </w:r>
      <w:r w:rsidR="00AC2C9E" w:rsidRPr="00DB6579">
        <w:t>Th</w:t>
      </w:r>
      <w:r w:rsidR="003E60F8">
        <w:t>at is, for each</w:t>
      </w:r>
      <w:r w:rsidR="00D14D41">
        <w:t xml:space="preserve"> CCIV sub</w:t>
      </w:r>
      <w:r w:rsidR="00D14D41">
        <w:noBreakHyphen/>
        <w:t>fund company</w:t>
      </w:r>
      <w:r w:rsidR="003E60F8">
        <w:t>:</w:t>
      </w:r>
      <w:r w:rsidR="00AC2C9E">
        <w:t xml:space="preserve"> </w:t>
      </w:r>
    </w:p>
    <w:p w14:paraId="77614309" w14:textId="1F64F2CE" w:rsidR="00AC2C9E" w:rsidRDefault="003E60F8" w:rsidP="00AC2C9E">
      <w:pPr>
        <w:pStyle w:val="dotpoint"/>
      </w:pPr>
      <w:r>
        <w:t>the</w:t>
      </w:r>
      <w:r w:rsidR="00AC2C9E">
        <w:t xml:space="preserve"> CCIV </w:t>
      </w:r>
      <w:r>
        <w:t xml:space="preserve">must have a </w:t>
      </w:r>
      <w:r w:rsidR="00AC2C9E" w:rsidRPr="00DB6579">
        <w:t>separate TFN</w:t>
      </w:r>
      <w:r>
        <w:t xml:space="preserve"> and ABN</w:t>
      </w:r>
      <w:r w:rsidR="00AC2C9E">
        <w:t xml:space="preserve">; </w:t>
      </w:r>
    </w:p>
    <w:p w14:paraId="219683B9" w14:textId="13D5FE2D" w:rsidR="00AC2C9E" w:rsidRDefault="003E60F8" w:rsidP="00AC2C9E">
      <w:pPr>
        <w:pStyle w:val="dotpoint"/>
      </w:pPr>
      <w:r>
        <w:t>the</w:t>
      </w:r>
      <w:r w:rsidR="00824B16">
        <w:t xml:space="preserve"> CCIV </w:t>
      </w:r>
      <w:r>
        <w:t>must</w:t>
      </w:r>
      <w:r w:rsidR="00824B16">
        <w:t xml:space="preserve"> lodge </w:t>
      </w:r>
      <w:r>
        <w:t xml:space="preserve">a </w:t>
      </w:r>
      <w:r w:rsidR="00824B16">
        <w:t>separate</w:t>
      </w:r>
      <w:r>
        <w:t xml:space="preserve"> income tax</w:t>
      </w:r>
      <w:r w:rsidR="00824B16">
        <w:t xml:space="preserve"> return;</w:t>
      </w:r>
      <w:r>
        <w:t xml:space="preserve"> and</w:t>
      </w:r>
    </w:p>
    <w:p w14:paraId="48163C74" w14:textId="49F3E6A2" w:rsidR="00824B16" w:rsidRDefault="003E60F8" w:rsidP="00AC2C9E">
      <w:pPr>
        <w:pStyle w:val="dotpoint"/>
      </w:pPr>
      <w:proofErr w:type="gramStart"/>
      <w:r>
        <w:t>a</w:t>
      </w:r>
      <w:proofErr w:type="gramEnd"/>
      <w:r>
        <w:t xml:space="preserve"> </w:t>
      </w:r>
      <w:r w:rsidR="00824B16">
        <w:t xml:space="preserve">separate </w:t>
      </w:r>
      <w:r>
        <w:t xml:space="preserve">income tax </w:t>
      </w:r>
      <w:r w:rsidR="00824B16">
        <w:t>assessment</w:t>
      </w:r>
      <w:r>
        <w:t xml:space="preserve"> will </w:t>
      </w:r>
      <w:r w:rsidR="00824B16">
        <w:t>be made</w:t>
      </w:r>
      <w:r>
        <w:t>.</w:t>
      </w:r>
      <w:r w:rsidR="00824B16">
        <w:t xml:space="preserve"> </w:t>
      </w:r>
    </w:p>
    <w:p w14:paraId="57756A0E" w14:textId="625B833D" w:rsidR="00B91C91" w:rsidRPr="006213B4" w:rsidRDefault="003E60F8" w:rsidP="00B91C91">
      <w:pPr>
        <w:pStyle w:val="base-text-paragraph"/>
        <w:rPr>
          <w:rStyle w:val="Referencingstyle"/>
          <w:b w:val="0"/>
          <w:i w:val="0"/>
          <w:sz w:val="22"/>
        </w:rPr>
      </w:pPr>
      <w:r>
        <w:t>In this regard, for the purposes of applying t</w:t>
      </w:r>
      <w:r w:rsidR="00B91C91" w:rsidRPr="00824B16">
        <w:t>h</w:t>
      </w:r>
      <w:r>
        <w:t>e ABN Act, each</w:t>
      </w:r>
      <w:r w:rsidR="00B91C91" w:rsidRPr="00824B16">
        <w:t xml:space="preserve"> </w:t>
      </w:r>
      <w:r>
        <w:t>CCIV sub</w:t>
      </w:r>
      <w:r>
        <w:noBreakHyphen/>
        <w:t>fund company</w:t>
      </w:r>
      <w:r w:rsidRPr="00824B16">
        <w:t xml:space="preserve"> </w:t>
      </w:r>
      <w:r>
        <w:t xml:space="preserve">is taken </w:t>
      </w:r>
      <w:r w:rsidR="00B91C91" w:rsidRPr="00824B16">
        <w:t xml:space="preserve">as if </w:t>
      </w:r>
      <w:r>
        <w:t>it</w:t>
      </w:r>
      <w:r w:rsidR="00B91C91" w:rsidRPr="00824B16">
        <w:t xml:space="preserve"> were an entity carrying on an enterprise in Australia. This will ensure that each sub-fund of a CCIV is entitled to its own ABN. </w:t>
      </w:r>
      <w:r w:rsidR="00C536AE">
        <w:rPr>
          <w:rStyle w:val="Referencingstyle"/>
        </w:rPr>
        <w:t>[Schedule 9, items 1 and 2</w:t>
      </w:r>
      <w:r w:rsidR="00B91C91" w:rsidRPr="00824B16">
        <w:rPr>
          <w:rStyle w:val="Referencingstyle"/>
        </w:rPr>
        <w:t>, section 5 of the ABN Act 1999]</w:t>
      </w:r>
    </w:p>
    <w:p w14:paraId="08E35572" w14:textId="6F430607" w:rsidR="006213B4" w:rsidRPr="001A2F69" w:rsidRDefault="006213B4" w:rsidP="00B91C91">
      <w:pPr>
        <w:pStyle w:val="base-text-paragraph"/>
        <w:rPr>
          <w:rStyle w:val="Referencingstyle"/>
          <w:b w:val="0"/>
          <w:i w:val="0"/>
          <w:sz w:val="22"/>
        </w:rPr>
      </w:pPr>
      <w:r>
        <w:rPr>
          <w:rStyle w:val="Referencingstyle"/>
          <w:b w:val="0"/>
          <w:i w:val="0"/>
          <w:sz w:val="22"/>
        </w:rPr>
        <w:lastRenderedPageBreak/>
        <w:t xml:space="preserve">Further, a private ruling provided to the CCIV that relates to an ASF will also apply to the members of the ASF. </w:t>
      </w:r>
      <w:r>
        <w:rPr>
          <w:rStyle w:val="Referencingstyle"/>
        </w:rPr>
        <w:t>[Schedule 9, item 45</w:t>
      </w:r>
      <w:r w:rsidRPr="00824B16">
        <w:rPr>
          <w:rStyle w:val="Referencingstyle"/>
        </w:rPr>
        <w:t>, section</w:t>
      </w:r>
      <w:r w:rsidR="00721F89">
        <w:rPr>
          <w:rStyle w:val="Referencingstyle"/>
        </w:rPr>
        <w:t> </w:t>
      </w:r>
      <w:r>
        <w:rPr>
          <w:rStyle w:val="Referencingstyle"/>
        </w:rPr>
        <w:t>359-32</w:t>
      </w:r>
      <w:r w:rsidRPr="00824B16">
        <w:rPr>
          <w:rStyle w:val="Referencingstyle"/>
        </w:rPr>
        <w:t xml:space="preserve"> </w:t>
      </w:r>
      <w:r>
        <w:rPr>
          <w:rStyle w:val="Referencingstyle"/>
        </w:rPr>
        <w:t xml:space="preserve">in Schedule 1 to </w:t>
      </w:r>
      <w:r w:rsidRPr="00824B16">
        <w:rPr>
          <w:rStyle w:val="Referencingstyle"/>
        </w:rPr>
        <w:t xml:space="preserve">the </w:t>
      </w:r>
      <w:r>
        <w:rPr>
          <w:rStyle w:val="Referencingstyle"/>
        </w:rPr>
        <w:t>TAA 1953</w:t>
      </w:r>
      <w:r w:rsidRPr="00824B16">
        <w:rPr>
          <w:rStyle w:val="Referencingstyle"/>
        </w:rPr>
        <w:t>]</w:t>
      </w:r>
    </w:p>
    <w:p w14:paraId="1C03AAA7" w14:textId="3AA7294C" w:rsidR="001A2F69" w:rsidRPr="00365616" w:rsidRDefault="001A2F69" w:rsidP="00B91C91">
      <w:pPr>
        <w:pStyle w:val="base-text-paragraph"/>
        <w:rPr>
          <w:rStyle w:val="Referencingstyle"/>
          <w:b w:val="0"/>
          <w:i w:val="0"/>
          <w:sz w:val="22"/>
        </w:rPr>
      </w:pPr>
      <w:r>
        <w:rPr>
          <w:rStyle w:val="Referencingstyle"/>
          <w:b w:val="0"/>
          <w:i w:val="0"/>
          <w:sz w:val="22"/>
        </w:rPr>
        <w:t xml:space="preserve">A CCIV sub-fund company will also be a self-assessment taxpayer. </w:t>
      </w:r>
      <w:r>
        <w:rPr>
          <w:rStyle w:val="Referencingstyle"/>
        </w:rPr>
        <w:t>[Schedule 9, item 5</w:t>
      </w:r>
      <w:r w:rsidRPr="00824B16">
        <w:rPr>
          <w:rStyle w:val="Referencingstyle"/>
        </w:rPr>
        <w:t xml:space="preserve">, </w:t>
      </w:r>
      <w:r>
        <w:rPr>
          <w:rStyle w:val="Referencingstyle"/>
        </w:rPr>
        <w:t>definition of full self-assessment taxpayer in subsection</w:t>
      </w:r>
      <w:r w:rsidR="00721F89">
        <w:rPr>
          <w:rStyle w:val="Referencingstyle"/>
        </w:rPr>
        <w:t> </w:t>
      </w:r>
      <w:r>
        <w:rPr>
          <w:rStyle w:val="Referencingstyle"/>
        </w:rPr>
        <w:t xml:space="preserve">6(1) of </w:t>
      </w:r>
      <w:r w:rsidRPr="00824B16">
        <w:rPr>
          <w:rStyle w:val="Referencingstyle"/>
        </w:rPr>
        <w:t xml:space="preserve">the </w:t>
      </w:r>
      <w:r>
        <w:rPr>
          <w:rStyle w:val="Referencingstyle"/>
        </w:rPr>
        <w:t>ITAA 1936</w:t>
      </w:r>
      <w:r w:rsidRPr="00824B16">
        <w:rPr>
          <w:rStyle w:val="Referencingstyle"/>
        </w:rPr>
        <w:t>]</w:t>
      </w:r>
    </w:p>
    <w:p w14:paraId="4BA10312" w14:textId="77777777" w:rsidR="00721F89" w:rsidRDefault="00721F89" w:rsidP="00721F89">
      <w:pPr>
        <w:pStyle w:val="ExampleHeading"/>
        <w:numPr>
          <w:ilvl w:val="3"/>
          <w:numId w:val="7"/>
        </w:numPr>
      </w:pPr>
      <w:r>
        <w:t>: Applying taxation law to sub-funds</w:t>
      </w:r>
    </w:p>
    <w:p w14:paraId="7AFFB369" w14:textId="77777777" w:rsidR="00721F89" w:rsidRDefault="00721F89" w:rsidP="00721F89">
      <w:pPr>
        <w:pStyle w:val="exampletext"/>
      </w:pPr>
      <w:r>
        <w:t>XYZ is a CCIV with two sub-funds, being Sub-fund 1 and Sub-fund 2. For the purposes of the applying the provisions of a taxation law, in relation to ascertaining the obligations or entitlements of the CCIV, two separate companies are taken to exist — CCIV Sub-fund Company 1 and CCIV Sub</w:t>
      </w:r>
      <w:r>
        <w:noBreakHyphen/>
        <w:t>fund Company 2.</w:t>
      </w:r>
    </w:p>
    <w:p w14:paraId="3E92B63C" w14:textId="77777777" w:rsidR="00721F89" w:rsidRDefault="00721F89" w:rsidP="00721F89">
      <w:pPr>
        <w:pStyle w:val="exampletext"/>
      </w:pPr>
      <w:r>
        <w:t>Consequently:</w:t>
      </w:r>
    </w:p>
    <w:p w14:paraId="1D65F5A3" w14:textId="77777777" w:rsidR="00721F89" w:rsidRDefault="00721F89" w:rsidP="00721F89">
      <w:pPr>
        <w:pStyle w:val="exampledotpoint1"/>
      </w:pPr>
      <w:r>
        <w:t>the income tax positions in relation to CCIV Sub-fund Company 1 and CCIV Sub-fund Company 2 will need to be ascertained separately; and</w:t>
      </w:r>
    </w:p>
    <w:p w14:paraId="6B8D3FE2" w14:textId="42C80CAE" w:rsidR="00721F89" w:rsidRDefault="00721F89" w:rsidP="00721F89">
      <w:pPr>
        <w:pStyle w:val="exampledotpoint1"/>
      </w:pPr>
      <w:proofErr w:type="gramStart"/>
      <w:r>
        <w:t>the</w:t>
      </w:r>
      <w:proofErr w:type="gramEnd"/>
      <w:r>
        <w:t xml:space="preserve"> CCIV must give separate returns in relation to CCIV Sub-fund Company 1 and CCIV Sub-fund Company 2.</w:t>
      </w:r>
    </w:p>
    <w:p w14:paraId="787E7425" w14:textId="77777777" w:rsidR="00824B16" w:rsidRPr="000F1A03" w:rsidRDefault="00824B16" w:rsidP="003E60F8">
      <w:pPr>
        <w:pStyle w:val="Heading4"/>
      </w:pPr>
      <w:r w:rsidRPr="000F1A03">
        <w:t>Members of a sub</w:t>
      </w:r>
      <w:r w:rsidRPr="000F1A03">
        <w:noBreakHyphen/>
        <w:t>fund</w:t>
      </w:r>
    </w:p>
    <w:p w14:paraId="263A9BDD" w14:textId="1D327D53" w:rsidR="00824B16" w:rsidRPr="007A6954" w:rsidRDefault="00824B16" w:rsidP="00824B16">
      <w:pPr>
        <w:pStyle w:val="base-text-paragraph"/>
      </w:pPr>
      <w:r w:rsidRPr="000F1A03">
        <w:t>Every share in a CCIV must be referable to one, and only one, sub</w:t>
      </w:r>
      <w:r w:rsidRPr="000F1A03">
        <w:noBreakHyphen/>
        <w:t>fund of the CCIV. The sub-fund to which the share is referable is the sub</w:t>
      </w:r>
      <w:r w:rsidRPr="000F1A03">
        <w:noBreakHyphen/>
      </w:r>
      <w:r w:rsidRPr="007A6954">
        <w:t xml:space="preserve">fund to which the rights attaching to the share relate (See </w:t>
      </w:r>
      <w:r w:rsidR="00D81420" w:rsidRPr="007A6954">
        <w:t>section 1231</w:t>
      </w:r>
      <w:r w:rsidRPr="007A6954">
        <w:t xml:space="preserve"> of the Regulatory Exposure Draft </w:t>
      </w:r>
      <w:r w:rsidR="00D81420" w:rsidRPr="007A6954">
        <w:t>Bill</w:t>
      </w:r>
      <w:r w:rsidRPr="007A6954">
        <w:t>).</w:t>
      </w:r>
    </w:p>
    <w:p w14:paraId="317A40D5" w14:textId="42D62A24" w:rsidR="00824B16" w:rsidRPr="007A6954" w:rsidRDefault="00824B16" w:rsidP="00824B16">
      <w:pPr>
        <w:pStyle w:val="base-text-paragraph"/>
      </w:pPr>
      <w:r w:rsidRPr="007A6954">
        <w:t>Despite the fact that a sub</w:t>
      </w:r>
      <w:r w:rsidRPr="007A6954">
        <w:noBreakHyphen/>
        <w:t xml:space="preserve">fund does not have separate legal personality, each member of a CCIV is </w:t>
      </w:r>
      <w:r w:rsidR="005040EF" w:rsidRPr="007A6954">
        <w:t>deemed to be a member of a sub</w:t>
      </w:r>
      <w:r w:rsidR="005040EF" w:rsidRPr="007A6954">
        <w:noBreakHyphen/>
      </w:r>
      <w:r w:rsidRPr="007A6954">
        <w:t>fund of a CCIV if the person is a member of the CCIV and holds one or more shares that are referabl</w:t>
      </w:r>
      <w:r w:rsidR="00FD22DB" w:rsidRPr="007A6954">
        <w:t>e to the sub</w:t>
      </w:r>
      <w:r w:rsidR="00FD22DB" w:rsidRPr="007A6954">
        <w:noBreakHyphen/>
        <w:t>fund (See section</w:t>
      </w:r>
      <w:r w:rsidR="00A1266E" w:rsidRPr="007A6954">
        <w:t>s</w:t>
      </w:r>
      <w:r w:rsidR="00FD22DB" w:rsidRPr="007A6954">
        <w:t xml:space="preserve"> </w:t>
      </w:r>
      <w:r w:rsidR="00096AED">
        <w:t xml:space="preserve">1222Q and </w:t>
      </w:r>
      <w:r w:rsidR="00FD22DB" w:rsidRPr="007A6954">
        <w:t>1231</w:t>
      </w:r>
      <w:r w:rsidR="00096AED">
        <w:t xml:space="preserve"> </w:t>
      </w:r>
      <w:r w:rsidRPr="007A6954">
        <w:t>of the Regulatory Exposure Draft Bill).</w:t>
      </w:r>
      <w:r w:rsidR="006E6D1A" w:rsidRPr="007A6954">
        <w:t xml:space="preserve"> </w:t>
      </w:r>
      <w:r w:rsidR="006E6D1A" w:rsidRPr="007A6954">
        <w:rPr>
          <w:rStyle w:val="Referencingstyle"/>
        </w:rPr>
        <w:t>[Schedule 11, item 16, definition of member in subsection 995-1(1)]</w:t>
      </w:r>
    </w:p>
    <w:p w14:paraId="3A15F329" w14:textId="2BAF33C1" w:rsidR="00824B16" w:rsidRDefault="00824B16" w:rsidP="00824B16">
      <w:pPr>
        <w:pStyle w:val="base-text-paragraph"/>
      </w:pPr>
      <w:r w:rsidRPr="007A6954">
        <w:t>Consequently, as the CCIV is treated as if it were a separate company in relation to each sub</w:t>
      </w:r>
      <w:r w:rsidRPr="007A6954">
        <w:noBreakHyphen/>
        <w:t xml:space="preserve">fund, members of the CCIV that own shares referable to a particular sub-fund are treated as the shareholders of that separate </w:t>
      </w:r>
      <w:r w:rsidR="00397625" w:rsidRPr="007A6954">
        <w:t>CCIV sub</w:t>
      </w:r>
      <w:r w:rsidR="00397625" w:rsidRPr="007A6954">
        <w:noBreakHyphen/>
        <w:t xml:space="preserve">fund </w:t>
      </w:r>
      <w:r w:rsidRPr="007A6954">
        <w:t>company</w:t>
      </w:r>
      <w:r w:rsidRPr="000F1A03">
        <w:t xml:space="preserve"> for taxation purposes. </w:t>
      </w:r>
    </w:p>
    <w:p w14:paraId="771E462E" w14:textId="77777777" w:rsidR="00824B16" w:rsidRDefault="00824B16" w:rsidP="00824B16">
      <w:pPr>
        <w:pStyle w:val="ExampleHeading"/>
      </w:pPr>
      <w:r>
        <w:t>: Membership of a sub-fund</w:t>
      </w:r>
    </w:p>
    <w:p w14:paraId="5F774E31" w14:textId="602FD43D" w:rsidR="00824B16" w:rsidRDefault="003635E5" w:rsidP="00824B16">
      <w:pPr>
        <w:pStyle w:val="exampletext"/>
      </w:pPr>
      <w:r>
        <w:t>PHAN</w:t>
      </w:r>
      <w:r w:rsidR="00824B16" w:rsidRPr="002C3894">
        <w:t xml:space="preserve"> is a CCIV with two sub-funds — Sub-fund 1 and Sub fund 2.</w:t>
      </w:r>
    </w:p>
    <w:p w14:paraId="7EFF94D3" w14:textId="04D1CC22" w:rsidR="00824B16" w:rsidRDefault="00484A45" w:rsidP="00824B16">
      <w:pPr>
        <w:pStyle w:val="exampletext"/>
      </w:pPr>
      <w:proofErr w:type="spellStart"/>
      <w:r>
        <w:t>Trinny</w:t>
      </w:r>
      <w:proofErr w:type="spellEnd"/>
      <w:r>
        <w:t xml:space="preserve"> owns shares in PHAN that are referable to S</w:t>
      </w:r>
      <w:r w:rsidR="00824B16">
        <w:t xml:space="preserve">ub-fund 1 and Sally owns shares in </w:t>
      </w:r>
      <w:r>
        <w:t>PHAN</w:t>
      </w:r>
      <w:r w:rsidR="00824B16">
        <w:t xml:space="preserve"> that</w:t>
      </w:r>
      <w:r>
        <w:t xml:space="preserve"> are referable to S</w:t>
      </w:r>
      <w:r w:rsidR="00824B16">
        <w:t xml:space="preserve">ub-fund 2. </w:t>
      </w:r>
      <w:r w:rsidR="005040EF">
        <w:t>Tom </w:t>
      </w:r>
      <w:r w:rsidR="00C60EAD">
        <w:t>owns shares that are referable to</w:t>
      </w:r>
      <w:r>
        <w:t xml:space="preserve"> both Sub-fund 1 and S</w:t>
      </w:r>
      <w:r w:rsidR="00AA4B14">
        <w:t>ub-fund 2.</w:t>
      </w:r>
    </w:p>
    <w:p w14:paraId="2DFD597D" w14:textId="77777777" w:rsidR="00824B16" w:rsidRDefault="00824B16" w:rsidP="00824B16">
      <w:pPr>
        <w:pStyle w:val="exampletext"/>
      </w:pPr>
      <w:r>
        <w:t>For the purposes of ascertaining the existence or extent of an obligation or entitlement of the CCIV or another entity:</w:t>
      </w:r>
    </w:p>
    <w:p w14:paraId="6B5EED65" w14:textId="663B8F34" w:rsidR="00824B16" w:rsidRDefault="00824B16" w:rsidP="00824B16">
      <w:pPr>
        <w:pStyle w:val="exampledotpoint1"/>
      </w:pPr>
      <w:proofErr w:type="spellStart"/>
      <w:r>
        <w:lastRenderedPageBreak/>
        <w:t>Trinny</w:t>
      </w:r>
      <w:proofErr w:type="spellEnd"/>
      <w:r>
        <w:t xml:space="preserve"> will be treated as a shareholder of the separate </w:t>
      </w:r>
      <w:r w:rsidR="00F647A6">
        <w:t xml:space="preserve">CCIV </w:t>
      </w:r>
      <w:r w:rsidR="005040EF">
        <w:t>Sub</w:t>
      </w:r>
      <w:r w:rsidR="005040EF">
        <w:noBreakHyphen/>
      </w:r>
      <w:r>
        <w:t xml:space="preserve">fund </w:t>
      </w:r>
      <w:r w:rsidR="00397625">
        <w:t xml:space="preserve">Company </w:t>
      </w:r>
      <w:r w:rsidR="00F647A6">
        <w:t>1</w:t>
      </w:r>
      <w:r>
        <w:t xml:space="preserve">; </w:t>
      </w:r>
    </w:p>
    <w:p w14:paraId="33C6257E" w14:textId="3FD7B4F5" w:rsidR="00824B16" w:rsidRDefault="00824B16" w:rsidP="00824B16">
      <w:pPr>
        <w:pStyle w:val="exampledotpoint1"/>
      </w:pPr>
      <w:r>
        <w:t>Sally will be treated as a shareholder of the separate ‘</w:t>
      </w:r>
      <w:r w:rsidR="00F647A6">
        <w:t xml:space="preserve">CCIV </w:t>
      </w:r>
      <w:r>
        <w:t>S</w:t>
      </w:r>
      <w:r w:rsidR="005040EF">
        <w:t>ub</w:t>
      </w:r>
      <w:r w:rsidR="005040EF">
        <w:noBreakHyphen/>
      </w:r>
      <w:r w:rsidR="00F647A6">
        <w:t xml:space="preserve">fund </w:t>
      </w:r>
      <w:r w:rsidR="00397625">
        <w:t xml:space="preserve">Company </w:t>
      </w:r>
      <w:r w:rsidR="00F647A6">
        <w:t>2</w:t>
      </w:r>
      <w:r w:rsidR="00AA4B14">
        <w:t xml:space="preserve">; and </w:t>
      </w:r>
    </w:p>
    <w:p w14:paraId="68BB1C67" w14:textId="6DE65F50" w:rsidR="00AA4B14" w:rsidRPr="002C3894" w:rsidRDefault="00AA4B14" w:rsidP="00824B16">
      <w:pPr>
        <w:pStyle w:val="exampledotpoint1"/>
      </w:pPr>
      <w:r>
        <w:t xml:space="preserve">Tom will be treated as a shareholder of both the separate CCIV Sub-fund </w:t>
      </w:r>
      <w:r w:rsidR="009F7932">
        <w:t xml:space="preserve">Company </w:t>
      </w:r>
      <w:r>
        <w:t xml:space="preserve">1 and CCIV Sub-fund </w:t>
      </w:r>
      <w:r w:rsidR="009F7932">
        <w:t xml:space="preserve">Company </w:t>
      </w:r>
      <w:r>
        <w:t>2.</w:t>
      </w:r>
    </w:p>
    <w:p w14:paraId="488089AF" w14:textId="74240B50" w:rsidR="00F6032B" w:rsidRDefault="00484A45" w:rsidP="005040EF">
      <w:pPr>
        <w:pStyle w:val="Heading4"/>
      </w:pPr>
      <w:r>
        <w:t xml:space="preserve">Dealings </w:t>
      </w:r>
      <w:r w:rsidR="00F6032B">
        <w:t>between sub-funds</w:t>
      </w:r>
    </w:p>
    <w:p w14:paraId="062ED1AC" w14:textId="36A39CD6" w:rsidR="00F6032B" w:rsidRPr="007A6954" w:rsidRDefault="007C27E3" w:rsidP="00F6032B">
      <w:pPr>
        <w:pStyle w:val="base-text-paragraph"/>
      </w:pPr>
      <w:r>
        <w:t xml:space="preserve">As </w:t>
      </w:r>
      <w:r w:rsidR="00B87679">
        <w:t xml:space="preserve">the </w:t>
      </w:r>
      <w:r w:rsidR="00A941EB">
        <w:t xml:space="preserve">CCIV </w:t>
      </w:r>
      <w:r w:rsidR="00B87679">
        <w:t>is taken to be a separate company in relation to each sub-fund</w:t>
      </w:r>
      <w:r>
        <w:t xml:space="preserve">, </w:t>
      </w:r>
      <w:r w:rsidR="00F6032B">
        <w:t xml:space="preserve">the </w:t>
      </w:r>
      <w:r w:rsidR="00825152" w:rsidRPr="007A6954">
        <w:t xml:space="preserve">movement </w:t>
      </w:r>
      <w:r w:rsidR="00F6032B" w:rsidRPr="007A6954">
        <w:t xml:space="preserve">of an asset </w:t>
      </w:r>
      <w:r w:rsidR="00825152" w:rsidRPr="007A6954">
        <w:t xml:space="preserve">from one </w:t>
      </w:r>
      <w:r w:rsidR="009F7932" w:rsidRPr="007A6954">
        <w:t xml:space="preserve">CCIV </w:t>
      </w:r>
      <w:r w:rsidR="00F6032B" w:rsidRPr="007A6954">
        <w:t>sub-fund</w:t>
      </w:r>
      <w:r w:rsidR="00825152" w:rsidRPr="007A6954">
        <w:t xml:space="preserve"> </w:t>
      </w:r>
      <w:r w:rsidR="009F7932" w:rsidRPr="007A6954">
        <w:t xml:space="preserve">company </w:t>
      </w:r>
      <w:r w:rsidR="00825152" w:rsidRPr="007A6954">
        <w:t xml:space="preserve">to another </w:t>
      </w:r>
      <w:r w:rsidR="00A941EB" w:rsidRPr="007A6954">
        <w:t>CCIV</w:t>
      </w:r>
      <w:r w:rsidR="009F7932" w:rsidRPr="007A6954">
        <w:t xml:space="preserve"> </w:t>
      </w:r>
      <w:r w:rsidR="00825152" w:rsidRPr="007A6954">
        <w:t xml:space="preserve">sub-fund </w:t>
      </w:r>
      <w:r w:rsidR="009F7932" w:rsidRPr="007A6954">
        <w:t>company</w:t>
      </w:r>
      <w:r w:rsidR="00A941EB" w:rsidRPr="007A6954">
        <w:t xml:space="preserve">, or </w:t>
      </w:r>
      <w:r w:rsidR="00825152" w:rsidRPr="007A6954">
        <w:t xml:space="preserve">any </w:t>
      </w:r>
      <w:r w:rsidR="00F6032B" w:rsidRPr="007A6954">
        <w:t xml:space="preserve">other dealing between </w:t>
      </w:r>
      <w:r w:rsidR="009F7932" w:rsidRPr="007A6954">
        <w:t>two or more CCIV sub-fund companies</w:t>
      </w:r>
      <w:r w:rsidR="00825152" w:rsidRPr="007A6954">
        <w:t>,</w:t>
      </w:r>
      <w:r w:rsidR="00F6032B" w:rsidRPr="007A6954">
        <w:t xml:space="preserve"> </w:t>
      </w:r>
      <w:r w:rsidR="00A941EB" w:rsidRPr="007A6954">
        <w:t>is</w:t>
      </w:r>
      <w:r w:rsidR="00F6032B" w:rsidRPr="007A6954">
        <w:t xml:space="preserve"> recognised </w:t>
      </w:r>
      <w:r w:rsidR="00C717A1" w:rsidRPr="007A6954">
        <w:t>for the purposes of working out</w:t>
      </w:r>
      <w:r w:rsidR="00F6032B" w:rsidRPr="007A6954">
        <w:t xml:space="preserve"> the income tax po</w:t>
      </w:r>
      <w:r w:rsidR="00A67E5C" w:rsidRPr="007A6954">
        <w:t xml:space="preserve">sitions of each </w:t>
      </w:r>
      <w:r w:rsidR="00A941EB" w:rsidRPr="007A6954">
        <w:t>CCIV sub</w:t>
      </w:r>
      <w:r w:rsidR="00A941EB" w:rsidRPr="007A6954">
        <w:noBreakHyphen/>
        <w:t>fund company</w:t>
      </w:r>
      <w:r w:rsidR="00A67E5C" w:rsidRPr="007A6954">
        <w:t>.</w:t>
      </w:r>
    </w:p>
    <w:p w14:paraId="0AB77FF2" w14:textId="7EE422C6" w:rsidR="00F6032B" w:rsidRPr="007A6954" w:rsidRDefault="0014740B" w:rsidP="00441457">
      <w:pPr>
        <w:pStyle w:val="base-text-paragraph"/>
      </w:pPr>
      <w:r w:rsidRPr="007A6954">
        <w:t xml:space="preserve">As a consequence, for the purpose of </w:t>
      </w:r>
      <w:r w:rsidR="00F6032B" w:rsidRPr="007A6954">
        <w:t>determining whether an amount is included in assessable income or is a</w:t>
      </w:r>
      <w:r w:rsidRPr="007A6954">
        <w:t xml:space="preserve">n allowable </w:t>
      </w:r>
      <w:r w:rsidR="00F6032B" w:rsidRPr="007A6954">
        <w:t>deductio</w:t>
      </w:r>
      <w:r w:rsidRPr="007A6954">
        <w:t xml:space="preserve">n, </w:t>
      </w:r>
      <w:r w:rsidR="00F6032B" w:rsidRPr="007A6954">
        <w:t>or whether a capital gain or capital loss arises</w:t>
      </w:r>
      <w:r w:rsidRPr="007A6954">
        <w:t>, in respect of</w:t>
      </w:r>
      <w:r w:rsidR="009F7932" w:rsidRPr="007A6954">
        <w:t>, for example,</w:t>
      </w:r>
      <w:r w:rsidRPr="007A6954">
        <w:t xml:space="preserve"> the transfer of the asset</w:t>
      </w:r>
      <w:r w:rsidR="00F6032B" w:rsidRPr="007A6954">
        <w:t xml:space="preserve">: </w:t>
      </w:r>
    </w:p>
    <w:p w14:paraId="3CB4136C" w14:textId="51FFCE81" w:rsidR="00F6032B" w:rsidRPr="007A6954" w:rsidRDefault="009F7932" w:rsidP="00F6032B">
      <w:pPr>
        <w:pStyle w:val="dotpoint"/>
      </w:pPr>
      <w:r w:rsidRPr="007A6954">
        <w:t>one</w:t>
      </w:r>
      <w:r w:rsidR="00F6032B" w:rsidRPr="007A6954">
        <w:t xml:space="preserve"> CCIV sub-fund company</w:t>
      </w:r>
      <w:r w:rsidRPr="007A6954">
        <w:t xml:space="preserve"> is taken to have </w:t>
      </w:r>
      <w:r w:rsidR="00F6032B" w:rsidRPr="007A6954">
        <w:t xml:space="preserve">sold the asset immediately before the transfer for consideration equal to </w:t>
      </w:r>
      <w:r w:rsidRPr="007A6954">
        <w:t>the asset’s</w:t>
      </w:r>
      <w:r w:rsidR="00F6032B" w:rsidRPr="007A6954">
        <w:t xml:space="preserve"> market value; and </w:t>
      </w:r>
    </w:p>
    <w:p w14:paraId="6359EC07" w14:textId="5B391EED" w:rsidR="00F6032B" w:rsidRDefault="009F7932" w:rsidP="00F6032B">
      <w:pPr>
        <w:pStyle w:val="dotpoint"/>
      </w:pPr>
      <w:proofErr w:type="gramStart"/>
      <w:r w:rsidRPr="007A6954">
        <w:t>another</w:t>
      </w:r>
      <w:proofErr w:type="gramEnd"/>
      <w:r w:rsidR="00F6032B" w:rsidRPr="007A6954">
        <w:t xml:space="preserve"> CCIV sub</w:t>
      </w:r>
      <w:r w:rsidRPr="007A6954">
        <w:t>-</w:t>
      </w:r>
      <w:r w:rsidR="00F6032B" w:rsidRPr="007A6954">
        <w:t>fund company</w:t>
      </w:r>
      <w:r w:rsidRPr="007A6954">
        <w:t xml:space="preserve"> is taken to have </w:t>
      </w:r>
      <w:r w:rsidR="00F6032B" w:rsidRPr="007A6954">
        <w:t>purchased the asset at the time of the transfer for consideration equal</w:t>
      </w:r>
      <w:r w:rsidR="00F6032B">
        <w:t xml:space="preserve"> to </w:t>
      </w:r>
      <w:r>
        <w:t>the asset’s</w:t>
      </w:r>
      <w:r w:rsidR="00F6032B">
        <w:t xml:space="preserve"> market value.</w:t>
      </w:r>
    </w:p>
    <w:p w14:paraId="7802BCB1" w14:textId="7558B15E" w:rsidR="00F6032B" w:rsidRDefault="00A67E5C" w:rsidP="00F6032B">
      <w:pPr>
        <w:pStyle w:val="ExampleHeading"/>
      </w:pPr>
      <w:r>
        <w:t>: Disposal</w:t>
      </w:r>
      <w:r w:rsidR="00F6032B">
        <w:t xml:space="preserve"> of assets between sub-funds</w:t>
      </w:r>
      <w:r>
        <w:t xml:space="preserve"> in a CCIV</w:t>
      </w:r>
    </w:p>
    <w:p w14:paraId="1C0DD906" w14:textId="6A8B215B" w:rsidR="00F6032B" w:rsidRDefault="00F6032B" w:rsidP="00F6032B">
      <w:pPr>
        <w:pStyle w:val="exampletext"/>
      </w:pPr>
      <w:r>
        <w:t>XYZ is a CCIV with two sub-funds —</w:t>
      </w:r>
      <w:r w:rsidR="00B3463B">
        <w:t xml:space="preserve"> S</w:t>
      </w:r>
      <w:r>
        <w:t xml:space="preserve">ub-fund 1 and </w:t>
      </w:r>
      <w:r w:rsidR="00B3463B">
        <w:t>S</w:t>
      </w:r>
      <w:r>
        <w:t>ub</w:t>
      </w:r>
      <w:r>
        <w:noBreakHyphen/>
        <w:t>fund 2. XYZ ow</w:t>
      </w:r>
      <w:r w:rsidR="003A55EF">
        <w:t>ns 50 shares in BLT Co (which are</w:t>
      </w:r>
      <w:r>
        <w:t xml:space="preserve"> allocated to </w:t>
      </w:r>
      <w:r w:rsidR="00B3463B">
        <w:t>S</w:t>
      </w:r>
      <w:r>
        <w:t>ub-fund 1) and 50 shares</w:t>
      </w:r>
      <w:r w:rsidR="003A55EF">
        <w:t xml:space="preserve"> in EXO Co (which are</w:t>
      </w:r>
      <w:r>
        <w:t xml:space="preserve"> allocated to </w:t>
      </w:r>
      <w:r w:rsidR="00B3463B">
        <w:t>S</w:t>
      </w:r>
      <w:r>
        <w:t>ub-fund 2). The 50</w:t>
      </w:r>
      <w:r w:rsidR="009F7932">
        <w:t> </w:t>
      </w:r>
      <w:r>
        <w:t xml:space="preserve">shares in BLT Co were bought for $1,000 by XYZ in 2020. </w:t>
      </w:r>
    </w:p>
    <w:p w14:paraId="5A4B8548" w14:textId="3181A688" w:rsidR="00F6032B" w:rsidRDefault="00F6032B" w:rsidP="00F6032B">
      <w:pPr>
        <w:pStyle w:val="exampletext"/>
      </w:pPr>
      <w:r>
        <w:t xml:space="preserve">In the 2022-23 income </w:t>
      </w:r>
      <w:proofErr w:type="gramStart"/>
      <w:r>
        <w:t>year</w:t>
      </w:r>
      <w:proofErr w:type="gramEnd"/>
      <w:r>
        <w:t xml:space="preserve">, XYZ </w:t>
      </w:r>
      <w:r w:rsidR="003A55EF">
        <w:t>transfers</w:t>
      </w:r>
      <w:r>
        <w:t xml:space="preserve"> the 50 shares in BLT Co from </w:t>
      </w:r>
      <w:r w:rsidR="00B3463B">
        <w:t>S</w:t>
      </w:r>
      <w:r>
        <w:t xml:space="preserve">ub-fund 1 to </w:t>
      </w:r>
      <w:r w:rsidR="00B3463B">
        <w:t>S</w:t>
      </w:r>
      <w:r>
        <w:t xml:space="preserve">ub-fund 2. The market value at the time of transfer of the 50 shares in BLT Co was $2,000. </w:t>
      </w:r>
    </w:p>
    <w:p w14:paraId="1E450DA6" w14:textId="0169A672" w:rsidR="00F6032B" w:rsidRDefault="00AF1CF5" w:rsidP="00F6032B">
      <w:pPr>
        <w:pStyle w:val="exampletext"/>
      </w:pPr>
      <w:r>
        <w:t>For the purposes of applying</w:t>
      </w:r>
      <w:r w:rsidR="00F6032B">
        <w:t xml:space="preserve"> a taxation law, in relation to working out the liabilities or entitlements of the CCIV, </w:t>
      </w:r>
      <w:r w:rsidR="00936D4B">
        <w:t xml:space="preserve">the CCIV is treated as a separate company in relation </w:t>
      </w:r>
      <w:r w:rsidR="003A55EF">
        <w:t xml:space="preserve">to </w:t>
      </w:r>
      <w:r w:rsidR="00B3463B">
        <w:t>Sub</w:t>
      </w:r>
      <w:r w:rsidR="00F6032B">
        <w:t xml:space="preserve">-fund 1 and </w:t>
      </w:r>
      <w:r w:rsidR="00B3463B">
        <w:t>S</w:t>
      </w:r>
      <w:r w:rsidR="00F6032B">
        <w:t>ub</w:t>
      </w:r>
      <w:r w:rsidR="001D3BCB">
        <w:noBreakHyphen/>
      </w:r>
      <w:r w:rsidR="00936D4B">
        <w:t>fund 2.</w:t>
      </w:r>
    </w:p>
    <w:p w14:paraId="0BCF76EF" w14:textId="4821A3DA" w:rsidR="0014740B" w:rsidRDefault="00A67E5C" w:rsidP="00F6032B">
      <w:pPr>
        <w:pStyle w:val="exampletext"/>
      </w:pPr>
      <w:r>
        <w:t xml:space="preserve">As a result, </w:t>
      </w:r>
      <w:r w:rsidR="004157B7">
        <w:t xml:space="preserve">CCIV </w:t>
      </w:r>
      <w:r w:rsidR="00B3463B">
        <w:t>S</w:t>
      </w:r>
      <w:r>
        <w:t xml:space="preserve">ub-fund </w:t>
      </w:r>
      <w:r w:rsidR="00AD3A0F">
        <w:t xml:space="preserve">Company </w:t>
      </w:r>
      <w:r>
        <w:t>1</w:t>
      </w:r>
      <w:r w:rsidR="004157B7">
        <w:t xml:space="preserve"> </w:t>
      </w:r>
      <w:r w:rsidR="00F6032B">
        <w:t xml:space="preserve">is taken to have disposed of the 50 shares in BLT Co to </w:t>
      </w:r>
      <w:r w:rsidR="004157B7">
        <w:t xml:space="preserve">CCIV </w:t>
      </w:r>
      <w:r w:rsidR="00B3463B">
        <w:t>S</w:t>
      </w:r>
      <w:r w:rsidR="00F6032B">
        <w:t xml:space="preserve">ub-fund </w:t>
      </w:r>
      <w:r w:rsidR="00AD3A0F">
        <w:t xml:space="preserve">Company </w:t>
      </w:r>
      <w:r w:rsidR="00F6032B">
        <w:t xml:space="preserve">2. CGT event A1 will apply and a capital gain of $1,000 will be recognised </w:t>
      </w:r>
      <w:r w:rsidR="0014740B">
        <w:t>by</w:t>
      </w:r>
      <w:r>
        <w:t xml:space="preserve"> </w:t>
      </w:r>
      <w:r w:rsidR="00AD3A0F">
        <w:t xml:space="preserve">CCIV </w:t>
      </w:r>
      <w:r w:rsidR="00B3463B">
        <w:t>S</w:t>
      </w:r>
      <w:r>
        <w:t xml:space="preserve">ub-fund </w:t>
      </w:r>
      <w:r w:rsidR="00AD3A0F">
        <w:t>Company</w:t>
      </w:r>
      <w:r w:rsidR="00F6032B">
        <w:t>.</w:t>
      </w:r>
    </w:p>
    <w:p w14:paraId="0098421F" w14:textId="0303798D" w:rsidR="00F6032B" w:rsidRDefault="0014740B" w:rsidP="00F6032B">
      <w:pPr>
        <w:pStyle w:val="exampletext"/>
      </w:pPr>
      <w:r>
        <w:t xml:space="preserve">In addition, </w:t>
      </w:r>
      <w:r w:rsidR="00AD3A0F" w:rsidRPr="00EA241B">
        <w:t xml:space="preserve">CCIV </w:t>
      </w:r>
      <w:r w:rsidRPr="00EA241B">
        <w:t xml:space="preserve">Sub-fund </w:t>
      </w:r>
      <w:r w:rsidR="00AD3A0F" w:rsidRPr="00EA241B">
        <w:t xml:space="preserve">Company </w:t>
      </w:r>
      <w:r w:rsidRPr="00EA241B">
        <w:t>2 is taken</w:t>
      </w:r>
      <w:r>
        <w:t xml:space="preserve"> to have acquired the 50 shares in BLT Co. The first element of the </w:t>
      </w:r>
      <w:r w:rsidR="00F6032B">
        <w:t xml:space="preserve">cost base </w:t>
      </w:r>
      <w:r>
        <w:t xml:space="preserve">and reduced cost base </w:t>
      </w:r>
      <w:r w:rsidR="00F6032B">
        <w:t xml:space="preserve">of the BLT Co shares will </w:t>
      </w:r>
      <w:r>
        <w:t>be $2,000</w:t>
      </w:r>
      <w:r w:rsidR="00F6032B">
        <w:t>.</w:t>
      </w:r>
      <w:r w:rsidR="00AD3A0F">
        <w:t xml:space="preserve"> </w:t>
      </w:r>
    </w:p>
    <w:p w14:paraId="2A0FBEFA" w14:textId="77777777" w:rsidR="0065199A" w:rsidRPr="00060D5B" w:rsidRDefault="0065199A" w:rsidP="0014740B">
      <w:pPr>
        <w:pStyle w:val="Heading4"/>
        <w:rPr>
          <w:rStyle w:val="Referencingstyle"/>
          <w:b/>
          <w:i/>
          <w:sz w:val="22"/>
        </w:rPr>
      </w:pPr>
      <w:r>
        <w:rPr>
          <w:rStyle w:val="Referencingstyle"/>
          <w:b/>
          <w:i/>
          <w:sz w:val="22"/>
        </w:rPr>
        <w:lastRenderedPageBreak/>
        <w:t>Obligations and entitlements of a third party</w:t>
      </w:r>
    </w:p>
    <w:p w14:paraId="391E58D5" w14:textId="16B0077C" w:rsidR="0065199A" w:rsidRPr="0065199A" w:rsidRDefault="0065199A" w:rsidP="0065199A">
      <w:pPr>
        <w:pStyle w:val="base-text-paragraph"/>
        <w:rPr>
          <w:rStyle w:val="Referencingstyle"/>
          <w:b w:val="0"/>
          <w:i w:val="0"/>
          <w:sz w:val="22"/>
        </w:rPr>
      </w:pPr>
      <w:r w:rsidRPr="0065199A">
        <w:rPr>
          <w:rStyle w:val="Referencingstyle"/>
          <w:b w:val="0"/>
          <w:i w:val="0"/>
          <w:sz w:val="22"/>
        </w:rPr>
        <w:t>The same principles that apply in working out the obligation</w:t>
      </w:r>
      <w:r>
        <w:rPr>
          <w:rStyle w:val="Referencingstyle"/>
          <w:b w:val="0"/>
          <w:i w:val="0"/>
          <w:sz w:val="22"/>
        </w:rPr>
        <w:t>s</w:t>
      </w:r>
      <w:r w:rsidRPr="0065199A">
        <w:rPr>
          <w:rStyle w:val="Referencingstyle"/>
          <w:b w:val="0"/>
          <w:i w:val="0"/>
          <w:sz w:val="22"/>
        </w:rPr>
        <w:t xml:space="preserve"> or entitlement</w:t>
      </w:r>
      <w:r>
        <w:rPr>
          <w:rStyle w:val="Referencingstyle"/>
          <w:b w:val="0"/>
          <w:i w:val="0"/>
          <w:sz w:val="22"/>
        </w:rPr>
        <w:t>s</w:t>
      </w:r>
      <w:r w:rsidRPr="0065199A">
        <w:rPr>
          <w:rStyle w:val="Referencingstyle"/>
          <w:b w:val="0"/>
          <w:i w:val="0"/>
          <w:sz w:val="22"/>
        </w:rPr>
        <w:t xml:space="preserve"> of the CCIV also extend to </w:t>
      </w:r>
      <w:r w:rsidR="003A55EF">
        <w:rPr>
          <w:rStyle w:val="Referencingstyle"/>
          <w:b w:val="0"/>
          <w:i w:val="0"/>
          <w:sz w:val="22"/>
        </w:rPr>
        <w:t>another entity (e.g. third parties</w:t>
      </w:r>
      <w:r w:rsidRPr="0065199A">
        <w:rPr>
          <w:rStyle w:val="Referencingstyle"/>
          <w:b w:val="0"/>
          <w:i w:val="0"/>
          <w:sz w:val="22"/>
        </w:rPr>
        <w:t>), if the obligation or entitlement of that entity is affected directly or indirectly by any matter relati</w:t>
      </w:r>
      <w:r w:rsidR="0014740B">
        <w:rPr>
          <w:rStyle w:val="Referencingstyle"/>
          <w:b w:val="0"/>
          <w:i w:val="0"/>
          <w:sz w:val="22"/>
        </w:rPr>
        <w:t>ng</w:t>
      </w:r>
      <w:r w:rsidRPr="0065199A">
        <w:rPr>
          <w:rStyle w:val="Referencingstyle"/>
          <w:b w:val="0"/>
          <w:i w:val="0"/>
          <w:sz w:val="22"/>
        </w:rPr>
        <w:t xml:space="preserve"> to the CCIV or its sub-funds. That is, the entity will treat </w:t>
      </w:r>
      <w:r w:rsidR="0014740B">
        <w:rPr>
          <w:rStyle w:val="Referencingstyle"/>
          <w:b w:val="0"/>
          <w:i w:val="0"/>
          <w:sz w:val="22"/>
        </w:rPr>
        <w:t>the CCIV as being a separate company in relation to each sub</w:t>
      </w:r>
      <w:r w:rsidR="0014740B">
        <w:rPr>
          <w:rStyle w:val="Referencingstyle"/>
          <w:b w:val="0"/>
          <w:i w:val="0"/>
          <w:sz w:val="22"/>
        </w:rPr>
        <w:noBreakHyphen/>
        <w:t xml:space="preserve">fund as if </w:t>
      </w:r>
      <w:r w:rsidRPr="0065199A">
        <w:rPr>
          <w:rStyle w:val="Referencingstyle"/>
          <w:b w:val="0"/>
          <w:i w:val="0"/>
          <w:sz w:val="22"/>
        </w:rPr>
        <w:t xml:space="preserve">the only business carried on by the CCIV was the business of the relevant sub-fund. </w:t>
      </w:r>
      <w:r w:rsidRPr="00BF3D02">
        <w:rPr>
          <w:rStyle w:val="Referencingstyle"/>
        </w:rPr>
        <w:t>[Schedule</w:t>
      </w:r>
      <w:r>
        <w:rPr>
          <w:rStyle w:val="Referencingstyle"/>
        </w:rPr>
        <w:t xml:space="preserve"> 3</w:t>
      </w:r>
      <w:r w:rsidRPr="00BF3D02">
        <w:rPr>
          <w:rStyle w:val="Referencingstyle"/>
        </w:rPr>
        <w:t>, item</w:t>
      </w:r>
      <w:r>
        <w:rPr>
          <w:rStyle w:val="Referencingstyle"/>
        </w:rPr>
        <w:t xml:space="preserve"> 1, </w:t>
      </w:r>
      <w:r w:rsidR="00365616">
        <w:rPr>
          <w:rStyle w:val="Referencingstyle"/>
        </w:rPr>
        <w:t>sub</w:t>
      </w:r>
      <w:r>
        <w:rPr>
          <w:rStyle w:val="Referencingstyle"/>
        </w:rPr>
        <w:t>paragraph</w:t>
      </w:r>
      <w:r w:rsidR="00365616">
        <w:rPr>
          <w:rStyle w:val="Referencingstyle"/>
        </w:rPr>
        <w:t>s</w:t>
      </w:r>
      <w:r>
        <w:rPr>
          <w:rStyle w:val="Referencingstyle"/>
        </w:rPr>
        <w:t> 195</w:t>
      </w:r>
      <w:r w:rsidRPr="00BF3D02">
        <w:rPr>
          <w:rStyle w:val="Referencingstyle"/>
        </w:rPr>
        <w:noBreakHyphen/>
      </w:r>
      <w:r w:rsidR="00365616">
        <w:rPr>
          <w:rStyle w:val="Referencingstyle"/>
        </w:rPr>
        <w:t>105(2</w:t>
      </w:r>
      <w:r w:rsidRPr="00BF3D02">
        <w:rPr>
          <w:rStyle w:val="Referencingstyle"/>
        </w:rPr>
        <w:t>)</w:t>
      </w:r>
      <w:r w:rsidR="00365616">
        <w:rPr>
          <w:rStyle w:val="Referencingstyle"/>
        </w:rPr>
        <w:t>(a</w:t>
      </w:r>
      <w:r>
        <w:rPr>
          <w:rStyle w:val="Referencingstyle"/>
        </w:rPr>
        <w:t>)</w:t>
      </w:r>
      <w:r w:rsidR="00365616">
        <w:rPr>
          <w:rStyle w:val="Referencingstyle"/>
        </w:rPr>
        <w:t>(ii) and</w:t>
      </w:r>
      <w:r w:rsidR="00AD3A0F">
        <w:rPr>
          <w:rStyle w:val="Referencingstyle"/>
        </w:rPr>
        <w:t> </w:t>
      </w:r>
      <w:r w:rsidR="00365616">
        <w:rPr>
          <w:rStyle w:val="Referencingstyle"/>
        </w:rPr>
        <w:t>(c)(ii)</w:t>
      </w:r>
      <w:r w:rsidRPr="00BF3D02">
        <w:rPr>
          <w:rStyle w:val="Referencingstyle"/>
        </w:rPr>
        <w:t>]</w:t>
      </w:r>
    </w:p>
    <w:p w14:paraId="5C42BF51" w14:textId="10AED011" w:rsidR="0065199A" w:rsidRDefault="0065199A" w:rsidP="0065199A">
      <w:pPr>
        <w:pStyle w:val="base-text-paragraph"/>
        <w:rPr>
          <w:rStyle w:val="Referencingstyle"/>
          <w:b w:val="0"/>
          <w:i w:val="0"/>
          <w:sz w:val="22"/>
        </w:rPr>
      </w:pPr>
      <w:r>
        <w:t>Generally, a third party would be able to identify the relevant sub-fund because the CCIV must set out a sub-fund’s name and A</w:t>
      </w:r>
      <w:r w:rsidR="0014740B">
        <w:t xml:space="preserve">ustralian </w:t>
      </w:r>
      <w:r>
        <w:t>R</w:t>
      </w:r>
      <w:r w:rsidR="0014740B">
        <w:t xml:space="preserve">egistered </w:t>
      </w:r>
      <w:r>
        <w:t>F</w:t>
      </w:r>
      <w:r w:rsidR="0014740B">
        <w:t xml:space="preserve">und </w:t>
      </w:r>
      <w:r>
        <w:t>N</w:t>
      </w:r>
      <w:r w:rsidR="0014740B">
        <w:t>umber</w:t>
      </w:r>
      <w:r>
        <w:t xml:space="preserve"> on all public documents. Further, each sub-fund of a CCIV will have its own TFN and ABN.</w:t>
      </w:r>
    </w:p>
    <w:p w14:paraId="285339A5" w14:textId="77777777" w:rsidR="0016134B" w:rsidRPr="00BF3D02" w:rsidRDefault="0016134B" w:rsidP="0016134B">
      <w:pPr>
        <w:pStyle w:val="Heading3"/>
      </w:pPr>
      <w:r>
        <w:t>The AIV regime</w:t>
      </w:r>
    </w:p>
    <w:p w14:paraId="1BD73E25" w14:textId="1EC42871" w:rsidR="0016134B" w:rsidRPr="00BF3D02" w:rsidRDefault="0016134B" w:rsidP="0016134B">
      <w:pPr>
        <w:pStyle w:val="base-text-paragraph"/>
        <w:numPr>
          <w:ilvl w:val="1"/>
          <w:numId w:val="44"/>
        </w:numPr>
      </w:pPr>
      <w:r w:rsidRPr="00BF3D02">
        <w:t xml:space="preserve">Schedule </w:t>
      </w:r>
      <w:r w:rsidR="00AF1CF5">
        <w:t>2</w:t>
      </w:r>
      <w:r w:rsidRPr="00BF3D02">
        <w:t xml:space="preserve"> to th</w:t>
      </w:r>
      <w:r w:rsidR="00AF1CF5">
        <w:t>e</w:t>
      </w:r>
      <w:r w:rsidRPr="00BF3D02">
        <w:t xml:space="preserve"> </w:t>
      </w:r>
      <w:r w:rsidR="00AF1CF5">
        <w:t>Exposure Draft</w:t>
      </w:r>
      <w:r w:rsidRPr="00BF3D02">
        <w:t xml:space="preserve"> Bill introduces a new concept </w:t>
      </w:r>
      <w:r w:rsidR="003169AC">
        <w:t>in</w:t>
      </w:r>
      <w:r w:rsidRPr="00BF3D02">
        <w:t xml:space="preserve">to the </w:t>
      </w:r>
      <w:r w:rsidR="007D74EF">
        <w:t xml:space="preserve">income </w:t>
      </w:r>
      <w:r w:rsidRPr="00BF3D02">
        <w:t xml:space="preserve">tax law </w:t>
      </w:r>
      <w:r w:rsidR="00AF1CF5">
        <w:t>—</w:t>
      </w:r>
      <w:r w:rsidRPr="00BF3D02">
        <w:t xml:space="preserve"> an AIV. An AIV may be either:</w:t>
      </w:r>
    </w:p>
    <w:p w14:paraId="2B77C4B2" w14:textId="00A9815A" w:rsidR="0016134B" w:rsidRPr="00BF3D02" w:rsidRDefault="0016134B" w:rsidP="0016134B">
      <w:pPr>
        <w:pStyle w:val="dotpoint"/>
      </w:pPr>
      <w:r w:rsidRPr="00BF3D02">
        <w:t>an AMIT (section 276</w:t>
      </w:r>
      <w:r w:rsidRPr="00BF3D02">
        <w:noBreakHyphen/>
        <w:t xml:space="preserve">10); or </w:t>
      </w:r>
    </w:p>
    <w:p w14:paraId="2CC19D6F" w14:textId="22E4BDC2" w:rsidR="0016134B" w:rsidRDefault="0016134B" w:rsidP="0016134B">
      <w:pPr>
        <w:pStyle w:val="dotpoint"/>
      </w:pPr>
      <w:proofErr w:type="gramStart"/>
      <w:r w:rsidRPr="00BF3D02">
        <w:t>a</w:t>
      </w:r>
      <w:r w:rsidR="007045A0">
        <w:t>n</w:t>
      </w:r>
      <w:proofErr w:type="gramEnd"/>
      <w:r w:rsidR="007045A0">
        <w:t xml:space="preserve"> ASF </w:t>
      </w:r>
      <w:r>
        <w:t>(section 276</w:t>
      </w:r>
      <w:r>
        <w:noBreakHyphen/>
        <w:t xml:space="preserve">20). </w:t>
      </w:r>
    </w:p>
    <w:p w14:paraId="1AC16AB7" w14:textId="40AEB50C" w:rsidR="0016134B" w:rsidRPr="00564A09" w:rsidRDefault="0016134B" w:rsidP="0016134B">
      <w:pPr>
        <w:pStyle w:val="base-text-paragraphnonumbers"/>
        <w:rPr>
          <w:rStyle w:val="Referencingstyle"/>
          <w:b w:val="0"/>
          <w:i w:val="0"/>
        </w:rPr>
      </w:pPr>
      <w:r w:rsidRPr="00BF3D02">
        <w:rPr>
          <w:rStyle w:val="Referencingstyle"/>
        </w:rPr>
        <w:t>[Sc</w:t>
      </w:r>
      <w:r w:rsidR="00754922">
        <w:rPr>
          <w:rStyle w:val="Referencingstyle"/>
        </w:rPr>
        <w:t>hedule 2</w:t>
      </w:r>
      <w:r w:rsidRPr="00BF3D02">
        <w:rPr>
          <w:rStyle w:val="Referencingstyle"/>
        </w:rPr>
        <w:t>, item</w:t>
      </w:r>
      <w:r w:rsidR="00343CEE">
        <w:rPr>
          <w:rStyle w:val="Referencingstyle"/>
        </w:rPr>
        <w:t xml:space="preserve">s </w:t>
      </w:r>
      <w:r w:rsidR="00C176A3">
        <w:rPr>
          <w:rStyle w:val="Referencingstyle"/>
        </w:rPr>
        <w:t>1</w:t>
      </w:r>
      <w:r w:rsidR="00343CEE">
        <w:rPr>
          <w:rStyle w:val="Referencingstyle"/>
        </w:rPr>
        <w:t xml:space="preserve"> to 9</w:t>
      </w:r>
      <w:r w:rsidRPr="00BF3D02">
        <w:rPr>
          <w:rStyle w:val="Referencingstyle"/>
        </w:rPr>
        <w:t>, sections</w:t>
      </w:r>
      <w:r>
        <w:rPr>
          <w:rStyle w:val="Referencingstyle"/>
        </w:rPr>
        <w:t> </w:t>
      </w:r>
      <w:r w:rsidRPr="00BF3D02">
        <w:rPr>
          <w:rStyle w:val="Referencingstyle"/>
        </w:rPr>
        <w:t>276</w:t>
      </w:r>
      <w:r w:rsidRPr="00BF3D02">
        <w:rPr>
          <w:rStyle w:val="Referencingstyle"/>
        </w:rPr>
        <w:noBreakHyphen/>
        <w:t>1</w:t>
      </w:r>
      <w:r>
        <w:rPr>
          <w:rStyle w:val="Referencingstyle"/>
        </w:rPr>
        <w:t xml:space="preserve">, </w:t>
      </w:r>
      <w:r w:rsidRPr="00BF3D02">
        <w:rPr>
          <w:rStyle w:val="Referencingstyle"/>
        </w:rPr>
        <w:t>276</w:t>
      </w:r>
      <w:r w:rsidRPr="00BF3D02">
        <w:rPr>
          <w:rStyle w:val="Referencingstyle"/>
        </w:rPr>
        <w:noBreakHyphen/>
        <w:t>5</w:t>
      </w:r>
      <w:r>
        <w:rPr>
          <w:rStyle w:val="Referencingstyle"/>
        </w:rPr>
        <w:t xml:space="preserve"> and 276-7</w:t>
      </w:r>
      <w:r w:rsidRPr="00BF3D02">
        <w:rPr>
          <w:rStyle w:val="Referencingstyle"/>
        </w:rPr>
        <w:t>]</w:t>
      </w:r>
    </w:p>
    <w:p w14:paraId="0927BB96" w14:textId="0E793D7A" w:rsidR="0016134B" w:rsidRDefault="0016134B" w:rsidP="0016134B">
      <w:pPr>
        <w:pStyle w:val="base-text-paragraph"/>
        <w:numPr>
          <w:ilvl w:val="1"/>
          <w:numId w:val="44"/>
        </w:numPr>
      </w:pPr>
      <w:r w:rsidRPr="00182626">
        <w:t xml:space="preserve">The </w:t>
      </w:r>
      <w:r w:rsidRPr="00BF3D02">
        <w:t>amendments apply the existing AMIT attribution or ‘character flow</w:t>
      </w:r>
      <w:r w:rsidRPr="00BF3D02">
        <w:noBreakHyphen/>
        <w:t xml:space="preserve">through’ model to </w:t>
      </w:r>
      <w:r w:rsidR="003A55EF">
        <w:t>ASF</w:t>
      </w:r>
      <w:r w:rsidR="007045A0">
        <w:t>s</w:t>
      </w:r>
      <w:r w:rsidRPr="004B624C">
        <w:t xml:space="preserve"> </w:t>
      </w:r>
      <w:r w:rsidRPr="00BF3D02">
        <w:t xml:space="preserve">with modifications as required to take account of the corporate structure </w:t>
      </w:r>
      <w:r w:rsidR="008F6138">
        <w:t>of</w:t>
      </w:r>
      <w:r w:rsidRPr="00BF3D02">
        <w:t xml:space="preserve"> CCIV</w:t>
      </w:r>
      <w:r w:rsidR="008F6138">
        <w:t>s and the CCIV</w:t>
      </w:r>
      <w:r w:rsidRPr="00BF3D02">
        <w:t xml:space="preserve"> </w:t>
      </w:r>
      <w:r w:rsidR="00257EDD">
        <w:t>s</w:t>
      </w:r>
      <w:r w:rsidR="008F6138">
        <w:t>ub</w:t>
      </w:r>
      <w:r w:rsidR="008F6138">
        <w:noBreakHyphen/>
      </w:r>
      <w:r w:rsidR="00257EDD">
        <w:t xml:space="preserve">fund </w:t>
      </w:r>
      <w:r w:rsidRPr="00BF3D02">
        <w:t>model.</w:t>
      </w:r>
    </w:p>
    <w:p w14:paraId="54541972" w14:textId="00784D2F" w:rsidR="0016134B" w:rsidRDefault="0016134B" w:rsidP="0016134B">
      <w:pPr>
        <w:pStyle w:val="base-text-paragraph"/>
        <w:numPr>
          <w:ilvl w:val="1"/>
          <w:numId w:val="44"/>
        </w:numPr>
      </w:pPr>
      <w:r w:rsidRPr="00BF3D02">
        <w:t xml:space="preserve">The amendments made by </w:t>
      </w:r>
      <w:r>
        <w:t xml:space="preserve">this </w:t>
      </w:r>
      <w:r w:rsidR="00593520">
        <w:t>Exposure Draft</w:t>
      </w:r>
      <w:r>
        <w:t xml:space="preserve"> Bill</w:t>
      </w:r>
      <w:r w:rsidRPr="00BF3D02">
        <w:t xml:space="preserve"> do no</w:t>
      </w:r>
      <w:r>
        <w:t>t</w:t>
      </w:r>
      <w:r w:rsidRPr="00BF3D02">
        <w:t xml:space="preserve"> alter the attribution taxation regime that currently applies to AMITs.</w:t>
      </w:r>
    </w:p>
    <w:p w14:paraId="2B73809D" w14:textId="4E4BA58E" w:rsidR="0016134B" w:rsidRPr="00BF3D02" w:rsidRDefault="00C717A1" w:rsidP="008F6138">
      <w:pPr>
        <w:pStyle w:val="Heading4"/>
      </w:pPr>
      <w:r>
        <w:t>When is a sub-fund of a CCIV an ASF?</w:t>
      </w:r>
    </w:p>
    <w:p w14:paraId="5E12EAC4" w14:textId="2ABE0746" w:rsidR="007E4CDA" w:rsidRDefault="00AF1CF5" w:rsidP="007E4CDA">
      <w:pPr>
        <w:pStyle w:val="base-text-paragraph"/>
        <w:numPr>
          <w:ilvl w:val="1"/>
          <w:numId w:val="44"/>
        </w:numPr>
      </w:pPr>
      <w:r w:rsidRPr="00BF3D02">
        <w:t xml:space="preserve">Schedule </w:t>
      </w:r>
      <w:r>
        <w:t>1</w:t>
      </w:r>
      <w:r w:rsidRPr="00BF3D02">
        <w:t xml:space="preserve"> to th</w:t>
      </w:r>
      <w:r>
        <w:t>e</w:t>
      </w:r>
      <w:r w:rsidRPr="00BF3D02">
        <w:t xml:space="preserve"> </w:t>
      </w:r>
      <w:r>
        <w:t xml:space="preserve">Exposure Draft </w:t>
      </w:r>
      <w:r w:rsidRPr="00BF3D02">
        <w:t>Bill</w:t>
      </w:r>
      <w:r>
        <w:t xml:space="preserve"> sets out when a sub-fund of a CCIV will be an ASF</w:t>
      </w:r>
      <w:r w:rsidR="007E4CDA">
        <w:t>.</w:t>
      </w:r>
    </w:p>
    <w:p w14:paraId="5646485E" w14:textId="36AC9E92" w:rsidR="0016134B" w:rsidRPr="00BF3D02" w:rsidRDefault="003A7842" w:rsidP="0016134B">
      <w:pPr>
        <w:pStyle w:val="base-text-paragraph"/>
        <w:numPr>
          <w:ilvl w:val="1"/>
          <w:numId w:val="44"/>
        </w:numPr>
      </w:pPr>
      <w:r>
        <w:t>A sub-fund of a CCIV</w:t>
      </w:r>
      <w:r w:rsidR="0016134B" w:rsidRPr="00BF3D02">
        <w:t xml:space="preserve"> will be an </w:t>
      </w:r>
      <w:r w:rsidR="001E41F5">
        <w:t>ASF</w:t>
      </w:r>
      <w:r w:rsidR="0016134B" w:rsidRPr="00BF3D02">
        <w:t xml:space="preserve"> for an income year if:</w:t>
      </w:r>
    </w:p>
    <w:p w14:paraId="4E7DF78B" w14:textId="56650707" w:rsidR="0016134B" w:rsidRPr="00BF3D02" w:rsidRDefault="003A7842" w:rsidP="0016134B">
      <w:pPr>
        <w:pStyle w:val="dotpoint"/>
      </w:pPr>
      <w:r>
        <w:t>the</w:t>
      </w:r>
      <w:r w:rsidR="0016134B" w:rsidRPr="00BF3D02">
        <w:t xml:space="preserve"> sub</w:t>
      </w:r>
      <w:r w:rsidR="0016134B" w:rsidRPr="00BF3D02">
        <w:noBreakHyphen/>
        <w:t>fund satisfies the widely</w:t>
      </w:r>
      <w:r w:rsidR="0016134B" w:rsidRPr="00BF3D02">
        <w:noBreakHyphen/>
        <w:t>held requirements and closely</w:t>
      </w:r>
      <w:r w:rsidR="0016134B" w:rsidRPr="00BF3D02">
        <w:noBreakHyphen/>
        <w:t>held restrictions in relation to the income year (or the alternative test);</w:t>
      </w:r>
      <w:r w:rsidR="007045A0">
        <w:t xml:space="preserve"> </w:t>
      </w:r>
    </w:p>
    <w:p w14:paraId="29978D35" w14:textId="5880BF48" w:rsidR="008C052E" w:rsidRDefault="0016134B" w:rsidP="0016134B">
      <w:pPr>
        <w:pStyle w:val="dotpoint"/>
      </w:pPr>
      <w:r w:rsidRPr="00C24BC0">
        <w:t xml:space="preserve">the </w:t>
      </w:r>
      <w:r w:rsidR="003A7842">
        <w:t>sub-fund</w:t>
      </w:r>
      <w:r w:rsidRPr="00BF3D02">
        <w:t xml:space="preserve"> satisfies the trading business restrictions</w:t>
      </w:r>
      <w:r w:rsidR="008C052E">
        <w:t>;</w:t>
      </w:r>
    </w:p>
    <w:p w14:paraId="498A8AA8" w14:textId="1AA367B4" w:rsidR="008C052E" w:rsidRPr="00BF3D02" w:rsidRDefault="008C052E" w:rsidP="0016134B">
      <w:pPr>
        <w:pStyle w:val="dotpoint"/>
      </w:pPr>
      <w:r>
        <w:t xml:space="preserve">the CCIV is an Australian resident during the whole of the income year; and </w:t>
      </w:r>
    </w:p>
    <w:p w14:paraId="518E7147" w14:textId="41BFA7EF" w:rsidR="0016134B" w:rsidRPr="00BF3D02" w:rsidRDefault="0016134B" w:rsidP="0016134B">
      <w:pPr>
        <w:pStyle w:val="dotpoint"/>
      </w:pPr>
      <w:proofErr w:type="gramStart"/>
      <w:r w:rsidRPr="00C24BC0">
        <w:t>the</w:t>
      </w:r>
      <w:proofErr w:type="gramEnd"/>
      <w:r w:rsidRPr="00C24BC0">
        <w:t xml:space="preserve"> </w:t>
      </w:r>
      <w:r w:rsidR="003A7842">
        <w:t>sub-fund</w:t>
      </w:r>
      <w:r w:rsidR="009912D2">
        <w:t xml:space="preserve"> is not an excluded</w:t>
      </w:r>
      <w:r w:rsidR="006177FD">
        <w:t xml:space="preserve"> sub-fund</w:t>
      </w:r>
      <w:r w:rsidR="0000754B">
        <w:t xml:space="preserve">.  </w:t>
      </w:r>
    </w:p>
    <w:p w14:paraId="26531506" w14:textId="43067418" w:rsidR="0016134B" w:rsidRPr="00BF3D02" w:rsidRDefault="007E4CDA" w:rsidP="0016134B">
      <w:pPr>
        <w:pStyle w:val="base-text-paragraphnonumbers"/>
        <w:rPr>
          <w:rStyle w:val="Referencingstyle"/>
        </w:rPr>
      </w:pPr>
      <w:r>
        <w:rPr>
          <w:rStyle w:val="Referencingstyle"/>
        </w:rPr>
        <w:t>[Schedule 1</w:t>
      </w:r>
      <w:r w:rsidR="0016134B">
        <w:rPr>
          <w:rStyle w:val="Referencingstyle"/>
        </w:rPr>
        <w:t>, item 1</w:t>
      </w:r>
      <w:r w:rsidR="0016134B" w:rsidRPr="00BF3D02">
        <w:rPr>
          <w:rStyle w:val="Referencingstyle"/>
        </w:rPr>
        <w:t xml:space="preserve">, </w:t>
      </w:r>
      <w:r w:rsidR="00E24FCA">
        <w:rPr>
          <w:rStyle w:val="Referencingstyle"/>
        </w:rPr>
        <w:t>sub</w:t>
      </w:r>
      <w:r w:rsidR="0016134B" w:rsidRPr="00BF3D02">
        <w:rPr>
          <w:rStyle w:val="Referencingstyle"/>
        </w:rPr>
        <w:t>section 276</w:t>
      </w:r>
      <w:r w:rsidR="0016134B" w:rsidRPr="00BF3D02">
        <w:rPr>
          <w:rStyle w:val="Referencingstyle"/>
        </w:rPr>
        <w:noBreakHyphen/>
      </w:r>
      <w:proofErr w:type="gramStart"/>
      <w:r w:rsidR="0016134B" w:rsidRPr="00BF3D02">
        <w:rPr>
          <w:rStyle w:val="Referencingstyle"/>
        </w:rPr>
        <w:t>20</w:t>
      </w:r>
      <w:r w:rsidR="00E24FCA">
        <w:rPr>
          <w:rStyle w:val="Referencingstyle"/>
        </w:rPr>
        <w:t>(</w:t>
      </w:r>
      <w:proofErr w:type="gramEnd"/>
      <w:r w:rsidR="00E24FCA">
        <w:rPr>
          <w:rStyle w:val="Referencingstyle"/>
        </w:rPr>
        <w:t>1)</w:t>
      </w:r>
      <w:r w:rsidR="0016134B" w:rsidRPr="00BF3D02">
        <w:rPr>
          <w:rStyle w:val="Referencingstyle"/>
        </w:rPr>
        <w:t>]</w:t>
      </w:r>
    </w:p>
    <w:p w14:paraId="41FCC700" w14:textId="77777777" w:rsidR="008F6138" w:rsidRDefault="008F6138" w:rsidP="00060D5B">
      <w:pPr>
        <w:pStyle w:val="base-text-paragraph"/>
      </w:pPr>
      <w:r>
        <w:lastRenderedPageBreak/>
        <w:t>A sub</w:t>
      </w:r>
      <w:r>
        <w:noBreakHyphen/>
        <w:t>fund will be an excluded sub</w:t>
      </w:r>
      <w:r>
        <w:noBreakHyphen/>
        <w:t>fund if:</w:t>
      </w:r>
    </w:p>
    <w:p w14:paraId="792A2530" w14:textId="233D8D5D" w:rsidR="008F6138" w:rsidRDefault="008F6138" w:rsidP="008F6138">
      <w:pPr>
        <w:pStyle w:val="dotpoint"/>
      </w:pPr>
      <w:r>
        <w:t>the sub</w:t>
      </w:r>
      <w:r>
        <w:noBreakHyphen/>
        <w:t>fund was, and ceased to be, an ASF (because it fails to satisfy the ASF criteria in a particular income year); or</w:t>
      </w:r>
    </w:p>
    <w:p w14:paraId="709A5C7B" w14:textId="46CABEA3" w:rsidR="008F6138" w:rsidRDefault="008F6138" w:rsidP="008F6138">
      <w:pPr>
        <w:pStyle w:val="dotpoint"/>
      </w:pPr>
      <w:proofErr w:type="gramStart"/>
      <w:r>
        <w:t>the</w:t>
      </w:r>
      <w:proofErr w:type="gramEnd"/>
      <w:r>
        <w:t xml:space="preserve"> sub</w:t>
      </w:r>
      <w:r>
        <w:noBreakHyphen/>
        <w:t>fund did not become an ASF by the end of the income year in which it was established or within such further period as the Commissioner allows.</w:t>
      </w:r>
    </w:p>
    <w:p w14:paraId="1FF98D11" w14:textId="57C8667A" w:rsidR="008F6138" w:rsidRDefault="008F6138" w:rsidP="008F6138">
      <w:pPr>
        <w:pStyle w:val="base-text-paragraphnonumbers"/>
      </w:pPr>
      <w:r>
        <w:rPr>
          <w:rStyle w:val="Referencingstyle"/>
        </w:rPr>
        <w:t>[Schedule 1, item 1</w:t>
      </w:r>
      <w:r w:rsidRPr="00BF3D02">
        <w:rPr>
          <w:rStyle w:val="Referencingstyle"/>
        </w:rPr>
        <w:t xml:space="preserve">, </w:t>
      </w:r>
      <w:r>
        <w:rPr>
          <w:rStyle w:val="Referencingstyle"/>
        </w:rPr>
        <w:t>sub</w:t>
      </w:r>
      <w:r w:rsidRPr="00BF3D02">
        <w:rPr>
          <w:rStyle w:val="Referencingstyle"/>
        </w:rPr>
        <w:t>section 276</w:t>
      </w:r>
      <w:r w:rsidRPr="00BF3D02">
        <w:rPr>
          <w:rStyle w:val="Referencingstyle"/>
        </w:rPr>
        <w:noBreakHyphen/>
      </w:r>
      <w:proofErr w:type="gramStart"/>
      <w:r w:rsidRPr="00BF3D02">
        <w:rPr>
          <w:rStyle w:val="Referencingstyle"/>
        </w:rPr>
        <w:t>20</w:t>
      </w:r>
      <w:r>
        <w:rPr>
          <w:rStyle w:val="Referencingstyle"/>
        </w:rPr>
        <w:t>(</w:t>
      </w:r>
      <w:proofErr w:type="gramEnd"/>
      <w:r>
        <w:rPr>
          <w:rStyle w:val="Referencingstyle"/>
        </w:rPr>
        <w:t>4)</w:t>
      </w:r>
      <w:r w:rsidRPr="00BF3D02">
        <w:rPr>
          <w:rStyle w:val="Referencingstyle"/>
        </w:rPr>
        <w:t>]</w:t>
      </w:r>
    </w:p>
    <w:p w14:paraId="5C5A55B4" w14:textId="2AFF464A" w:rsidR="0016134B" w:rsidRDefault="0016134B" w:rsidP="00060D5B">
      <w:pPr>
        <w:pStyle w:val="base-text-paragraph"/>
      </w:pPr>
      <w:r w:rsidRPr="00BF3D02">
        <w:t xml:space="preserve">The requirements </w:t>
      </w:r>
      <w:r w:rsidR="008F6138">
        <w:t>for a sub-fund of a CCIV</w:t>
      </w:r>
      <w:r w:rsidR="008F6138" w:rsidRPr="00BF3D02">
        <w:t xml:space="preserve"> </w:t>
      </w:r>
      <w:r w:rsidR="008F6138">
        <w:t xml:space="preserve">to qualify as </w:t>
      </w:r>
      <w:r w:rsidR="008F6138" w:rsidRPr="00BF3D02">
        <w:t xml:space="preserve">an </w:t>
      </w:r>
      <w:r w:rsidR="008F6138">
        <w:t>ASF</w:t>
      </w:r>
      <w:r w:rsidR="008F6138" w:rsidRPr="00BF3D02">
        <w:t xml:space="preserve"> </w:t>
      </w:r>
      <w:r w:rsidR="00DA53CB">
        <w:t xml:space="preserve">are </w:t>
      </w:r>
      <w:r w:rsidR="008C052E">
        <w:t xml:space="preserve">broadly </w:t>
      </w:r>
      <w:r w:rsidR="00DA53CB">
        <w:t>consistent with the requirement</w:t>
      </w:r>
      <w:r w:rsidR="003A55EF">
        <w:t>s</w:t>
      </w:r>
      <w:r w:rsidR="00DA53CB">
        <w:t xml:space="preserve"> that apply </w:t>
      </w:r>
      <w:r w:rsidRPr="00BF3D02">
        <w:t xml:space="preserve">for a </w:t>
      </w:r>
      <w:r w:rsidR="003A55EF">
        <w:t>trust</w:t>
      </w:r>
      <w:r w:rsidRPr="00BF3D02">
        <w:t xml:space="preserve"> to be an AMIT, with modifications </w:t>
      </w:r>
      <w:r>
        <w:t>to reflect the sub</w:t>
      </w:r>
      <w:r w:rsidR="001D3BCB">
        <w:noBreakHyphen/>
      </w:r>
      <w:r>
        <w:t>fund and corporate structure of a CCIV.</w:t>
      </w:r>
    </w:p>
    <w:p w14:paraId="6D487937" w14:textId="2CF333EB" w:rsidR="0016134B" w:rsidRPr="00BF3D02" w:rsidRDefault="00750414" w:rsidP="0016134B">
      <w:pPr>
        <w:pStyle w:val="base-text-paragraph"/>
        <w:numPr>
          <w:ilvl w:val="1"/>
          <w:numId w:val="44"/>
        </w:numPr>
      </w:pPr>
      <w:r>
        <w:t>A</w:t>
      </w:r>
      <w:r w:rsidR="00355B2B">
        <w:t xml:space="preserve"> sub</w:t>
      </w:r>
      <w:r w:rsidR="00355B2B">
        <w:noBreakHyphen/>
        <w:t>fund of a</w:t>
      </w:r>
      <w:r w:rsidR="0016134B" w:rsidRPr="00BF3D02">
        <w:t xml:space="preserve"> CCIV must meet t</w:t>
      </w:r>
      <w:r>
        <w:t>he widely</w:t>
      </w:r>
      <w:r>
        <w:noBreakHyphen/>
        <w:t xml:space="preserve">held </w:t>
      </w:r>
      <w:r w:rsidR="0016134B" w:rsidRPr="00826F6C">
        <w:t>requirements and closely</w:t>
      </w:r>
      <w:r w:rsidR="0016134B" w:rsidRPr="00826F6C">
        <w:noBreakHyphen/>
        <w:t>held restrictions (or the alternative test)</w:t>
      </w:r>
      <w:r>
        <w:t xml:space="preserve"> to be an ASF</w:t>
      </w:r>
      <w:r w:rsidR="0016134B" w:rsidRPr="00BF3D02">
        <w:t xml:space="preserve">. This reflects </w:t>
      </w:r>
      <w:r>
        <w:t xml:space="preserve">the principle </w:t>
      </w:r>
      <w:r w:rsidR="0016134B">
        <w:t xml:space="preserve">that each sub-fund is segregated and that the whole </w:t>
      </w:r>
      <w:r w:rsidR="0016134B" w:rsidRPr="00BF3D02">
        <w:t xml:space="preserve">CCIV </w:t>
      </w:r>
      <w:r w:rsidR="0016134B">
        <w:t xml:space="preserve">should </w:t>
      </w:r>
      <w:r w:rsidR="0016134B" w:rsidRPr="00BF3D02">
        <w:t>be a genuine collective investment vehicle</w:t>
      </w:r>
      <w:r>
        <w:t>.</w:t>
      </w:r>
      <w:r w:rsidR="0016134B" w:rsidRPr="00826F6C">
        <w:t xml:space="preserve"> </w:t>
      </w:r>
      <w:r w:rsidR="007E4CDA">
        <w:rPr>
          <w:rStyle w:val="Referencingstyle"/>
        </w:rPr>
        <w:t>[Schedule 1</w:t>
      </w:r>
      <w:r w:rsidR="0016134B">
        <w:rPr>
          <w:rStyle w:val="Referencingstyle"/>
        </w:rPr>
        <w:t>, item 1</w:t>
      </w:r>
      <w:r w:rsidR="0016134B" w:rsidRPr="00BF3D02">
        <w:rPr>
          <w:rStyle w:val="Referencingstyle"/>
        </w:rPr>
        <w:t xml:space="preserve">, </w:t>
      </w:r>
      <w:r w:rsidR="003A55EF">
        <w:rPr>
          <w:rStyle w:val="Referencingstyle"/>
        </w:rPr>
        <w:t>subsection 276</w:t>
      </w:r>
      <w:r w:rsidR="003A55EF">
        <w:rPr>
          <w:rStyle w:val="Referencingstyle"/>
        </w:rPr>
        <w:noBreakHyphen/>
        <w:t>20(2)</w:t>
      </w:r>
      <w:r w:rsidR="0016134B" w:rsidRPr="00BF3D02">
        <w:rPr>
          <w:rStyle w:val="Referencingstyle"/>
        </w:rPr>
        <w:t>]</w:t>
      </w:r>
    </w:p>
    <w:p w14:paraId="105F361C" w14:textId="77777777" w:rsidR="0016134B" w:rsidRPr="00BF3D02" w:rsidRDefault="0016134B" w:rsidP="0016134B">
      <w:pPr>
        <w:pStyle w:val="Heading5"/>
      </w:pPr>
      <w:r w:rsidRPr="00BF3D02">
        <w:t>Widely</w:t>
      </w:r>
      <w:r w:rsidRPr="00BF3D02">
        <w:noBreakHyphen/>
        <w:t>held requirements</w:t>
      </w:r>
    </w:p>
    <w:p w14:paraId="2FAB7EB4" w14:textId="77777777" w:rsidR="0016134B" w:rsidRDefault="0016134B" w:rsidP="0016134B">
      <w:pPr>
        <w:pStyle w:val="base-text-paragraph"/>
        <w:numPr>
          <w:ilvl w:val="1"/>
          <w:numId w:val="44"/>
        </w:numPr>
      </w:pPr>
      <w:r>
        <w:t>The widely-held requirements that need to be satisfied by the sub-fund will depend on whether or not the sub-fund has wholesale membership.</w:t>
      </w:r>
    </w:p>
    <w:p w14:paraId="61289183" w14:textId="12469BA2" w:rsidR="0016134B" w:rsidRDefault="0016134B" w:rsidP="0016134B">
      <w:pPr>
        <w:pStyle w:val="base-text-paragraph"/>
        <w:numPr>
          <w:ilvl w:val="1"/>
          <w:numId w:val="44"/>
        </w:numPr>
      </w:pPr>
      <w:r>
        <w:t>A</w:t>
      </w:r>
      <w:r w:rsidRPr="00BF3D02">
        <w:t xml:space="preserve"> sub</w:t>
      </w:r>
      <w:r w:rsidRPr="00BF3D02">
        <w:noBreakHyphen/>
        <w:t xml:space="preserve">fund must satisfy the </w:t>
      </w:r>
      <w:r>
        <w:t>relevant</w:t>
      </w:r>
      <w:r w:rsidRPr="00BF3D02">
        <w:t xml:space="preserve"> </w:t>
      </w:r>
      <w:r w:rsidR="003A55EF">
        <w:t xml:space="preserve">widely held </w:t>
      </w:r>
      <w:r w:rsidRPr="00BF3D02">
        <w:t>requirements a</w:t>
      </w:r>
      <w:r>
        <w:t>t the time</w:t>
      </w:r>
      <w:r w:rsidRPr="00BF3D02">
        <w:t xml:space="preserve"> the first fund payment</w:t>
      </w:r>
      <w:r>
        <w:t xml:space="preserve"> is made</w:t>
      </w:r>
      <w:r w:rsidRPr="00BF3D02">
        <w:t xml:space="preserve"> from the sub</w:t>
      </w:r>
      <w:r w:rsidRPr="00BF3D02">
        <w:noBreakHyphen/>
        <w:t>fund for the income year.</w:t>
      </w:r>
      <w:r>
        <w:t xml:space="preserve"> </w:t>
      </w:r>
      <w:r w:rsidRPr="00DD75BF">
        <w:rPr>
          <w:rStyle w:val="Referencingstyle"/>
        </w:rPr>
        <w:t>[Schedu</w:t>
      </w:r>
      <w:r w:rsidR="007E4CDA">
        <w:rPr>
          <w:rStyle w:val="Referencingstyle"/>
        </w:rPr>
        <w:t>le 1</w:t>
      </w:r>
      <w:r>
        <w:rPr>
          <w:rStyle w:val="Referencingstyle"/>
        </w:rPr>
        <w:t>, item 1, paragraph 276</w:t>
      </w:r>
      <w:r>
        <w:rPr>
          <w:rStyle w:val="Referencingstyle"/>
        </w:rPr>
        <w:noBreakHyphen/>
        <w:t>20(2)(a</w:t>
      </w:r>
      <w:r w:rsidRPr="00DD75BF">
        <w:rPr>
          <w:rStyle w:val="Referencingstyle"/>
        </w:rPr>
        <w:t>)]</w:t>
      </w:r>
    </w:p>
    <w:p w14:paraId="6C632B6C" w14:textId="71DCBC74" w:rsidR="0016134B" w:rsidRPr="00BF3D02" w:rsidRDefault="0016134B" w:rsidP="0016134B">
      <w:pPr>
        <w:pStyle w:val="base-text-paragraph"/>
        <w:numPr>
          <w:ilvl w:val="1"/>
          <w:numId w:val="44"/>
        </w:numPr>
      </w:pPr>
      <w:r w:rsidRPr="00BF3D02">
        <w:t xml:space="preserve">The meaning of </w:t>
      </w:r>
      <w:r w:rsidRPr="00DC23B7">
        <w:rPr>
          <w:i/>
        </w:rPr>
        <w:t>fund payment</w:t>
      </w:r>
      <w:r w:rsidRPr="00BF3D02">
        <w:t xml:space="preserve"> is set out in the Schedule 1 to the </w:t>
      </w:r>
      <w:r>
        <w:t>TAA 1953</w:t>
      </w:r>
      <w:r w:rsidRPr="00BF3D02">
        <w:t xml:space="preserve">. The amendments </w:t>
      </w:r>
      <w:r>
        <w:t xml:space="preserve">extend </w:t>
      </w:r>
      <w:r w:rsidRPr="00BF3D02">
        <w:t xml:space="preserve">the current definition of fund payment </w:t>
      </w:r>
      <w:r>
        <w:t>that applies to AMITs so that it applies to all AIVs</w:t>
      </w:r>
      <w:r w:rsidRPr="00BF3D02">
        <w:t xml:space="preserve">. </w:t>
      </w:r>
      <w:r>
        <w:rPr>
          <w:rStyle w:val="Referencingstyle"/>
        </w:rPr>
        <w:t xml:space="preserve">[Schedule </w:t>
      </w:r>
      <w:r w:rsidR="00C176A3">
        <w:rPr>
          <w:rStyle w:val="Referencingstyle"/>
        </w:rPr>
        <w:t>5</w:t>
      </w:r>
      <w:r>
        <w:rPr>
          <w:rStyle w:val="Referencingstyle"/>
        </w:rPr>
        <w:t xml:space="preserve">, items </w:t>
      </w:r>
      <w:r w:rsidR="00E74FE1">
        <w:rPr>
          <w:rStyle w:val="Referencingstyle"/>
        </w:rPr>
        <w:t>97</w:t>
      </w:r>
      <w:r>
        <w:rPr>
          <w:rStyle w:val="Referencingstyle"/>
        </w:rPr>
        <w:t xml:space="preserve"> to </w:t>
      </w:r>
      <w:r w:rsidR="00E74FE1">
        <w:rPr>
          <w:rStyle w:val="Referencingstyle"/>
        </w:rPr>
        <w:t>111</w:t>
      </w:r>
      <w:r>
        <w:rPr>
          <w:rStyle w:val="Referencingstyle"/>
        </w:rPr>
        <w:t>, section 12A</w:t>
      </w:r>
      <w:r>
        <w:rPr>
          <w:rStyle w:val="Referencingstyle"/>
        </w:rPr>
        <w:noBreakHyphen/>
        <w:t>110 in Schedule 1 to the TAA 1953</w:t>
      </w:r>
      <w:r w:rsidRPr="00BF3D02">
        <w:rPr>
          <w:rStyle w:val="Referencingstyle"/>
        </w:rPr>
        <w:t>]</w:t>
      </w:r>
    </w:p>
    <w:p w14:paraId="2F9B0CDE" w14:textId="0D5B3B0C" w:rsidR="0016134B" w:rsidRDefault="0016134B" w:rsidP="0016134B">
      <w:pPr>
        <w:pStyle w:val="base-text-paragraph"/>
        <w:numPr>
          <w:ilvl w:val="1"/>
          <w:numId w:val="44"/>
        </w:numPr>
      </w:pPr>
      <w:r>
        <w:t>A</w:t>
      </w:r>
      <w:r w:rsidRPr="00BF3D02">
        <w:t xml:space="preserve"> sub</w:t>
      </w:r>
      <w:r w:rsidRPr="00BF3D02">
        <w:noBreakHyphen/>
        <w:t xml:space="preserve">fund </w:t>
      </w:r>
      <w:r>
        <w:t xml:space="preserve">that has </w:t>
      </w:r>
      <w:r w:rsidRPr="00BF3D02">
        <w:t>wholesale membership</w:t>
      </w:r>
      <w:r>
        <w:t xml:space="preserve"> must satisfy certain requirements and have at least 25 members at the time the first fund payment is made from the sub-fund for the income year. </w:t>
      </w:r>
      <w:r>
        <w:rPr>
          <w:rStyle w:val="Referencingstyle"/>
        </w:rPr>
        <w:t xml:space="preserve">[Schedule </w:t>
      </w:r>
      <w:r w:rsidR="00C176A3">
        <w:rPr>
          <w:rStyle w:val="Referencingstyle"/>
        </w:rPr>
        <w:t>1</w:t>
      </w:r>
      <w:r>
        <w:rPr>
          <w:rStyle w:val="Referencingstyle"/>
        </w:rPr>
        <w:t>, item 1</w:t>
      </w:r>
      <w:r w:rsidRPr="00BF0A96">
        <w:rPr>
          <w:rStyle w:val="Referencingstyle"/>
        </w:rPr>
        <w:t>, paragraph 276-2</w:t>
      </w:r>
      <w:r w:rsidR="00C176A3">
        <w:rPr>
          <w:rStyle w:val="Referencingstyle"/>
        </w:rPr>
        <w:t>2</w:t>
      </w:r>
      <w:r w:rsidRPr="00BF0A96">
        <w:rPr>
          <w:rStyle w:val="Referencingstyle"/>
        </w:rPr>
        <w:t>(1)(b)]</w:t>
      </w:r>
    </w:p>
    <w:p w14:paraId="6A497DDB" w14:textId="77777777" w:rsidR="0016134B" w:rsidRPr="00BF3D02" w:rsidRDefault="0016134B" w:rsidP="0016134B">
      <w:pPr>
        <w:pStyle w:val="base-text-paragraph"/>
        <w:numPr>
          <w:ilvl w:val="1"/>
          <w:numId w:val="44"/>
        </w:numPr>
      </w:pPr>
      <w:r>
        <w:t>The</w:t>
      </w:r>
      <w:r w:rsidRPr="00BF3D02">
        <w:t xml:space="preserve"> wholesale membership </w:t>
      </w:r>
      <w:r>
        <w:t>requirements for the sub-fund are that</w:t>
      </w:r>
      <w:r w:rsidRPr="00BF3D02">
        <w:t>:</w:t>
      </w:r>
    </w:p>
    <w:p w14:paraId="206E3944" w14:textId="77777777" w:rsidR="0016134B" w:rsidRDefault="0016134B" w:rsidP="0016134B">
      <w:pPr>
        <w:pStyle w:val="dotpoint"/>
      </w:pPr>
      <w:r>
        <w:t>the total number of persons</w:t>
      </w:r>
      <w:r w:rsidRPr="00BF3D02">
        <w:t xml:space="preserve"> that had become a member of the sub</w:t>
      </w:r>
      <w:r w:rsidRPr="00BF3D02">
        <w:noBreakHyphen/>
        <w:t>fund because a financial product or a financial service was provide</w:t>
      </w:r>
      <w:r>
        <w:t>d to, or acquired by, the person</w:t>
      </w:r>
      <w:r w:rsidRPr="00BF3D02">
        <w:t xml:space="preserve"> as a retail client (within the meaning of sections 761G and 761GA of the </w:t>
      </w:r>
      <w:r w:rsidRPr="00B72BD4">
        <w:t>Corporations Act</w:t>
      </w:r>
      <w:r w:rsidRPr="00BF3D02">
        <w:t>) i</w:t>
      </w:r>
      <w:r>
        <w:t>s equal to or less than 20; and</w:t>
      </w:r>
    </w:p>
    <w:p w14:paraId="3F979F19" w14:textId="45C2CDAB" w:rsidR="0016134B" w:rsidRDefault="0016134B" w:rsidP="0016134B">
      <w:pPr>
        <w:pStyle w:val="dotpoint"/>
      </w:pPr>
      <w:proofErr w:type="gramStart"/>
      <w:r>
        <w:t>these</w:t>
      </w:r>
      <w:proofErr w:type="gramEnd"/>
      <w:r>
        <w:t xml:space="preserve"> </w:t>
      </w:r>
      <w:r w:rsidR="003A55EF">
        <w:t>retail clients</w:t>
      </w:r>
      <w:r w:rsidRPr="00BF3D02">
        <w:t xml:space="preserve"> </w:t>
      </w:r>
      <w:r>
        <w:t xml:space="preserve">collectively must </w:t>
      </w:r>
      <w:r w:rsidRPr="00BF3D02">
        <w:t>have a total sub</w:t>
      </w:r>
      <w:r w:rsidRPr="00BF3D02">
        <w:noBreakHyphen/>
        <w:t>fund participation interest in t</w:t>
      </w:r>
      <w:r>
        <w:t>he sub</w:t>
      </w:r>
      <w:r>
        <w:noBreakHyphen/>
        <w:t>fund of not more than 10 per </w:t>
      </w:r>
      <w:r w:rsidRPr="00BF3D02">
        <w:t>cent.</w:t>
      </w:r>
    </w:p>
    <w:p w14:paraId="36BF612B" w14:textId="291E3761" w:rsidR="0016134B" w:rsidRDefault="0016134B" w:rsidP="0016134B">
      <w:pPr>
        <w:pStyle w:val="base-text-paragraphnonumbers"/>
      </w:pPr>
      <w:r>
        <w:rPr>
          <w:rStyle w:val="Referencingstyle"/>
        </w:rPr>
        <w:lastRenderedPageBreak/>
        <w:t xml:space="preserve">[Schedule </w:t>
      </w:r>
      <w:r w:rsidR="00C176A3">
        <w:rPr>
          <w:rStyle w:val="Referencingstyle"/>
        </w:rPr>
        <w:t>1</w:t>
      </w:r>
      <w:r>
        <w:rPr>
          <w:rStyle w:val="Referencingstyle"/>
        </w:rPr>
        <w:t>, item 1</w:t>
      </w:r>
      <w:r w:rsidR="00750414">
        <w:rPr>
          <w:rStyle w:val="Referencingstyle"/>
        </w:rPr>
        <w:t>, subsection 276</w:t>
      </w:r>
      <w:r w:rsidR="00750414">
        <w:rPr>
          <w:rStyle w:val="Referencingstyle"/>
        </w:rPr>
        <w:noBreakHyphen/>
      </w:r>
      <w:proofErr w:type="gramStart"/>
      <w:r w:rsidR="00750414">
        <w:rPr>
          <w:rStyle w:val="Referencingstyle"/>
        </w:rPr>
        <w:t>2</w:t>
      </w:r>
      <w:r w:rsidR="00B91AB2">
        <w:rPr>
          <w:rStyle w:val="Referencingstyle"/>
        </w:rPr>
        <w:t>2</w:t>
      </w:r>
      <w:r w:rsidRPr="00BF3D02">
        <w:rPr>
          <w:rStyle w:val="Referencingstyle"/>
        </w:rPr>
        <w:t>(</w:t>
      </w:r>
      <w:proofErr w:type="gramEnd"/>
      <w:r w:rsidR="006C616D">
        <w:rPr>
          <w:rStyle w:val="Referencingstyle"/>
        </w:rPr>
        <w:t>2</w:t>
      </w:r>
      <w:r w:rsidRPr="00BF3D02">
        <w:rPr>
          <w:rStyle w:val="Referencingstyle"/>
        </w:rPr>
        <w:t>)]</w:t>
      </w:r>
    </w:p>
    <w:p w14:paraId="66FF755A" w14:textId="77777777" w:rsidR="0016134B" w:rsidRPr="00BF3D02" w:rsidRDefault="0016134B" w:rsidP="0016134B">
      <w:pPr>
        <w:pStyle w:val="base-text-paragraph"/>
        <w:numPr>
          <w:ilvl w:val="1"/>
          <w:numId w:val="44"/>
        </w:numPr>
      </w:pPr>
      <w:r w:rsidRPr="00BF3D02">
        <w:t>Th</w:t>
      </w:r>
      <w:r>
        <w:t>ese</w:t>
      </w:r>
      <w:r w:rsidRPr="00BF3D02">
        <w:t xml:space="preserve"> requirements reflect the widely</w:t>
      </w:r>
      <w:r w:rsidRPr="00BF3D02">
        <w:noBreakHyphen/>
        <w:t>held requirements under the AMIT regime for unregistered trusts with wholesale membership (see subparagraph 275</w:t>
      </w:r>
      <w:r w:rsidRPr="00BF3D02">
        <w:noBreakHyphen/>
      </w:r>
      <w:proofErr w:type="gramStart"/>
      <w:r w:rsidRPr="00BF3D02">
        <w:t>10(</w:t>
      </w:r>
      <w:proofErr w:type="gramEnd"/>
      <w:r w:rsidRPr="00BF3D02">
        <w:t>3)(e)(iii), sections 275</w:t>
      </w:r>
      <w:r w:rsidRPr="00BF3D02">
        <w:noBreakHyphen/>
        <w:t>15 and 275</w:t>
      </w:r>
      <w:r w:rsidRPr="00BF3D02">
        <w:noBreakHyphen/>
        <w:t>40), with modifications to remove inapplicable trust elements and apply the test to each sub</w:t>
      </w:r>
      <w:r w:rsidRPr="00BF3D02">
        <w:noBreakHyphen/>
        <w:t>fund of the CCIV.</w:t>
      </w:r>
    </w:p>
    <w:p w14:paraId="7145E984" w14:textId="77777777" w:rsidR="0016134B" w:rsidRPr="00BF3D02" w:rsidRDefault="0016134B" w:rsidP="0016134B">
      <w:pPr>
        <w:pStyle w:val="base-text-paragraph"/>
        <w:numPr>
          <w:ilvl w:val="1"/>
          <w:numId w:val="44"/>
        </w:numPr>
      </w:pPr>
      <w:r w:rsidRPr="00BF3D02">
        <w:t xml:space="preserve">An entity has a </w:t>
      </w:r>
      <w:r w:rsidRPr="005E0A2A">
        <w:rPr>
          <w:b/>
          <w:i/>
        </w:rPr>
        <w:t>sub</w:t>
      </w:r>
      <w:r w:rsidRPr="005E0A2A">
        <w:rPr>
          <w:b/>
          <w:i/>
        </w:rPr>
        <w:noBreakHyphen/>
        <w:t>fund participation interest</w:t>
      </w:r>
      <w:r w:rsidRPr="00BF3D02">
        <w:t xml:space="preserve"> in the sub</w:t>
      </w:r>
      <w:r w:rsidRPr="00BF3D02">
        <w:noBreakHyphen/>
        <w:t>fund if the entity, directly or indirectly:</w:t>
      </w:r>
    </w:p>
    <w:p w14:paraId="221C5568" w14:textId="77777777" w:rsidR="0016134B" w:rsidRPr="00BF3D02" w:rsidRDefault="0016134B" w:rsidP="0016134B">
      <w:pPr>
        <w:pStyle w:val="dotpoint"/>
      </w:pPr>
      <w:r w:rsidRPr="00BF3D02">
        <w:t>holds, or has the right to acquire, interests representing a percentage of the value of the interests in the sub</w:t>
      </w:r>
      <w:r w:rsidRPr="00BF3D02">
        <w:noBreakHyphen/>
        <w:t>fund;</w:t>
      </w:r>
      <w:r>
        <w:t xml:space="preserve"> or</w:t>
      </w:r>
    </w:p>
    <w:p w14:paraId="34053233" w14:textId="77777777" w:rsidR="0016134B" w:rsidRPr="00BF3D02" w:rsidRDefault="0016134B" w:rsidP="0016134B">
      <w:pPr>
        <w:pStyle w:val="dotpoint"/>
      </w:pPr>
      <w:r w:rsidRPr="00BF3D02">
        <w:t>has the control of, or the ability to control, a percentage of the rights attaching to either or both of the following:</w:t>
      </w:r>
    </w:p>
    <w:p w14:paraId="4663A9F1" w14:textId="3677E9C4" w:rsidR="0016134B" w:rsidRPr="00BF3D02" w:rsidRDefault="0016134B" w:rsidP="00DA53CB">
      <w:pPr>
        <w:pStyle w:val="dotpoint2"/>
      </w:pPr>
      <w:r w:rsidRPr="00BF3D02">
        <w:t>an interest, or set of interests, in the sub</w:t>
      </w:r>
      <w:r w:rsidRPr="00BF3D02">
        <w:noBreakHyphen/>
        <w:t>fund;</w:t>
      </w:r>
      <w:r>
        <w:t xml:space="preserve"> </w:t>
      </w:r>
      <w:r w:rsidR="00AF1CF5">
        <w:t>and/or</w:t>
      </w:r>
    </w:p>
    <w:p w14:paraId="787B4D1A" w14:textId="77777777" w:rsidR="0016134B" w:rsidRDefault="0016134B" w:rsidP="00DA53CB">
      <w:pPr>
        <w:pStyle w:val="dotpoint2"/>
      </w:pPr>
      <w:proofErr w:type="gramStart"/>
      <w:r w:rsidRPr="00BF3D02">
        <w:t>each</w:t>
      </w:r>
      <w:proofErr w:type="gramEnd"/>
      <w:r w:rsidRPr="00BF3D02">
        <w:t xml:space="preserve"> right</w:t>
      </w:r>
      <w:r>
        <w:t xml:space="preserve"> to receive a distribution</w:t>
      </w:r>
      <w:r w:rsidRPr="00BF3D02">
        <w:t xml:space="preserve">, or set of </w:t>
      </w:r>
      <w:r>
        <w:t xml:space="preserve">such </w:t>
      </w:r>
      <w:r w:rsidRPr="00BF3D02">
        <w:t>rights, in relation to the sub</w:t>
      </w:r>
      <w:r w:rsidRPr="00BF3D02">
        <w:noBreakHyphen/>
        <w:t>fund.</w:t>
      </w:r>
    </w:p>
    <w:p w14:paraId="2D49D462" w14:textId="5B14B65D" w:rsidR="0016134B" w:rsidRPr="00BF3D02" w:rsidRDefault="0016134B" w:rsidP="0016134B">
      <w:pPr>
        <w:pStyle w:val="base-text-paragraphnonumbers"/>
      </w:pPr>
      <w:r>
        <w:rPr>
          <w:rStyle w:val="Referencingstyle"/>
        </w:rPr>
        <w:t xml:space="preserve">[Schedule </w:t>
      </w:r>
      <w:r w:rsidR="00C176A3">
        <w:rPr>
          <w:rStyle w:val="Referencingstyle"/>
        </w:rPr>
        <w:t>1</w:t>
      </w:r>
      <w:r>
        <w:rPr>
          <w:rStyle w:val="Referencingstyle"/>
        </w:rPr>
        <w:t>, item 1</w:t>
      </w:r>
      <w:r w:rsidRPr="00BF0A96">
        <w:rPr>
          <w:rStyle w:val="Referencingstyle"/>
        </w:rPr>
        <w:t xml:space="preserve">, </w:t>
      </w:r>
      <w:proofErr w:type="gramStart"/>
      <w:r w:rsidR="002E6062">
        <w:rPr>
          <w:rStyle w:val="Referencingstyle"/>
        </w:rPr>
        <w:t>subsection</w:t>
      </w:r>
      <w:proofErr w:type="gramEnd"/>
      <w:r w:rsidR="002E6062">
        <w:rPr>
          <w:rStyle w:val="Referencingstyle"/>
        </w:rPr>
        <w:t> 276-28</w:t>
      </w:r>
      <w:r>
        <w:rPr>
          <w:rStyle w:val="Referencingstyle"/>
        </w:rPr>
        <w:t>(1)</w:t>
      </w:r>
      <w:r w:rsidRPr="00BF0A96">
        <w:rPr>
          <w:rStyle w:val="Referencingstyle"/>
        </w:rPr>
        <w:t>]</w:t>
      </w:r>
    </w:p>
    <w:p w14:paraId="046589B3" w14:textId="74BDD3B0" w:rsidR="0016134B" w:rsidRDefault="0016134B" w:rsidP="0016134B">
      <w:pPr>
        <w:pStyle w:val="base-text-paragraph"/>
        <w:numPr>
          <w:ilvl w:val="1"/>
          <w:numId w:val="44"/>
        </w:numPr>
      </w:pPr>
      <w:r w:rsidRPr="00BF3D02">
        <w:t>The sub</w:t>
      </w:r>
      <w:r w:rsidRPr="00BF3D02">
        <w:noBreakHyphen/>
        <w:t>fund participation interest that an entity has in a sub</w:t>
      </w:r>
      <w:r w:rsidRPr="00BF3D02">
        <w:noBreakHyphen/>
        <w:t>fund is the greate</w:t>
      </w:r>
      <w:r w:rsidR="001A3535">
        <w:t>r</w:t>
      </w:r>
      <w:r w:rsidRPr="00BF3D02">
        <w:t xml:space="preserve"> of the percentages mentioned </w:t>
      </w:r>
      <w:r w:rsidR="002E6062">
        <w:t>in paragraphs 276</w:t>
      </w:r>
      <w:r w:rsidR="002E6062">
        <w:noBreakHyphen/>
      </w:r>
      <w:proofErr w:type="gramStart"/>
      <w:r w:rsidR="002E6062">
        <w:t>28</w:t>
      </w:r>
      <w:r>
        <w:t>(</w:t>
      </w:r>
      <w:proofErr w:type="gramEnd"/>
      <w:r>
        <w:t>1)(a) and (b)</w:t>
      </w:r>
      <w:r w:rsidRPr="00BF3D02">
        <w:t>.</w:t>
      </w:r>
      <w:r w:rsidRPr="002420B7">
        <w:rPr>
          <w:b/>
          <w:i/>
        </w:rPr>
        <w:t xml:space="preserve"> </w:t>
      </w:r>
      <w:r>
        <w:rPr>
          <w:rStyle w:val="Referencingstyle"/>
        </w:rPr>
        <w:t xml:space="preserve">[Schedule </w:t>
      </w:r>
      <w:r w:rsidR="00C176A3">
        <w:rPr>
          <w:rStyle w:val="Referencingstyle"/>
        </w:rPr>
        <w:t>1</w:t>
      </w:r>
      <w:r>
        <w:rPr>
          <w:rStyle w:val="Referencingstyle"/>
        </w:rPr>
        <w:t>, item 1</w:t>
      </w:r>
      <w:r w:rsidRPr="00BF0A96">
        <w:rPr>
          <w:rStyle w:val="Referencingstyle"/>
        </w:rPr>
        <w:t xml:space="preserve">, </w:t>
      </w:r>
      <w:r w:rsidR="002E6062">
        <w:rPr>
          <w:rStyle w:val="Referencingstyle"/>
        </w:rPr>
        <w:t>subsection 276-28</w:t>
      </w:r>
      <w:r>
        <w:rPr>
          <w:rStyle w:val="Referencingstyle"/>
        </w:rPr>
        <w:t>(2)</w:t>
      </w:r>
      <w:r w:rsidRPr="00BF0A96">
        <w:rPr>
          <w:rStyle w:val="Referencingstyle"/>
        </w:rPr>
        <w:t>]</w:t>
      </w:r>
    </w:p>
    <w:p w14:paraId="758B590F" w14:textId="77777777" w:rsidR="0016134B" w:rsidRPr="00BF3D02" w:rsidRDefault="0016134B" w:rsidP="0016134B">
      <w:pPr>
        <w:pStyle w:val="base-text-paragraph"/>
        <w:numPr>
          <w:ilvl w:val="1"/>
          <w:numId w:val="44"/>
        </w:numPr>
      </w:pPr>
      <w:r w:rsidRPr="00BF3D02">
        <w:t>If the sub</w:t>
      </w:r>
      <w:r w:rsidRPr="00BF3D02">
        <w:noBreakHyphen/>
        <w:t>fund does not have wholesale membership, the sub</w:t>
      </w:r>
      <w:r w:rsidRPr="00BF3D02">
        <w:noBreakHyphen/>
        <w:t>fund must meet either or both of the following</w:t>
      </w:r>
      <w:r>
        <w:t xml:space="preserve"> requirements</w:t>
      </w:r>
      <w:r w:rsidRPr="00BF3D02">
        <w:t>:</w:t>
      </w:r>
    </w:p>
    <w:p w14:paraId="7DE49CAA" w14:textId="77777777" w:rsidR="0016134B" w:rsidRPr="00641CD2" w:rsidRDefault="0016134B" w:rsidP="0016134B">
      <w:pPr>
        <w:pStyle w:val="dotpoint"/>
      </w:pPr>
      <w:r w:rsidRPr="00641CD2">
        <w:t>the sub</w:t>
      </w:r>
      <w:r w:rsidRPr="00641CD2">
        <w:noBreakHyphen/>
        <w:t xml:space="preserve">fund </w:t>
      </w:r>
      <w:r>
        <w:t xml:space="preserve">has </w:t>
      </w:r>
      <w:r w:rsidRPr="00641CD2">
        <w:t>at least 50 members;</w:t>
      </w:r>
      <w:r>
        <w:t xml:space="preserve"> and/</w:t>
      </w:r>
      <w:r w:rsidRPr="00641CD2">
        <w:t>or</w:t>
      </w:r>
    </w:p>
    <w:p w14:paraId="465B2E80" w14:textId="2DE9E654" w:rsidR="0016134B" w:rsidRPr="00BF3D02" w:rsidRDefault="0016134B" w:rsidP="0016134B">
      <w:pPr>
        <w:pStyle w:val="dotpoint"/>
      </w:pPr>
      <w:r w:rsidRPr="00BF3D02">
        <w:t xml:space="preserve">one or more of </w:t>
      </w:r>
      <w:r w:rsidR="00381C3F">
        <w:t>the</w:t>
      </w:r>
      <w:r w:rsidRPr="00BF3D02">
        <w:t xml:space="preserve"> specified types of entities covered by subsection 275</w:t>
      </w:r>
      <w:r w:rsidRPr="00BF3D02">
        <w:noBreakHyphen/>
      </w:r>
      <w:proofErr w:type="gramStart"/>
      <w:r w:rsidRPr="00BF3D02">
        <w:t>20(</w:t>
      </w:r>
      <w:proofErr w:type="gramEnd"/>
      <w:r w:rsidRPr="00BF3D02">
        <w:t>4)</w:t>
      </w:r>
      <w:r w:rsidR="00811749">
        <w:t xml:space="preserve"> (such as</w:t>
      </w:r>
      <w:r w:rsidRPr="00BF3D02">
        <w:t xml:space="preserve"> </w:t>
      </w:r>
      <w:r w:rsidR="00811749">
        <w:t>life insurance companies, foreign</w:t>
      </w:r>
      <w:r w:rsidRPr="00BF3D02">
        <w:t xml:space="preserve"> life insurance companies, complying superannuation funds</w:t>
      </w:r>
      <w:r w:rsidR="00811749">
        <w:t>, complying approved deposit funds, foreign superannuation funds</w:t>
      </w:r>
      <w:r w:rsidR="00E24FCA">
        <w:t xml:space="preserve">, </w:t>
      </w:r>
      <w:r w:rsidR="00811749">
        <w:t>pooled superannuation trusts</w:t>
      </w:r>
      <w:r w:rsidR="00E24FCA">
        <w:t xml:space="preserve"> and </w:t>
      </w:r>
      <w:r w:rsidR="00A901F9">
        <w:t xml:space="preserve">other </w:t>
      </w:r>
      <w:r w:rsidR="00E24FCA">
        <w:t>CCIVs</w:t>
      </w:r>
      <w:r w:rsidRPr="00BF3D02">
        <w:t>)</w:t>
      </w:r>
      <w:r>
        <w:t xml:space="preserve"> </w:t>
      </w:r>
      <w:r w:rsidRPr="00BF3D02">
        <w:t>have a sub</w:t>
      </w:r>
      <w:r w:rsidRPr="00BF3D02">
        <w:noBreakHyphen/>
        <w:t>fund participation interest of more than 25 p</w:t>
      </w:r>
      <w:r>
        <w:t>er cent, and no other entity has</w:t>
      </w:r>
      <w:r w:rsidRPr="00BF3D02">
        <w:t xml:space="preserve"> a sub</w:t>
      </w:r>
      <w:r w:rsidRPr="00BF3D02">
        <w:noBreakHyphen/>
        <w:t>fund participation interest of more than 60 per cent.</w:t>
      </w:r>
    </w:p>
    <w:p w14:paraId="3313D15F" w14:textId="6B52247B" w:rsidR="0016134B" w:rsidRPr="00BF3D02" w:rsidRDefault="0016134B" w:rsidP="0016134B">
      <w:pPr>
        <w:pStyle w:val="base-text-paragraphnonumbers"/>
        <w:rPr>
          <w:rStyle w:val="Referencingstyle"/>
        </w:rPr>
      </w:pPr>
      <w:r w:rsidRPr="002420B7">
        <w:rPr>
          <w:rStyle w:val="Referencingstyle"/>
        </w:rPr>
        <w:t xml:space="preserve">[Schedule </w:t>
      </w:r>
      <w:r w:rsidR="00C176A3">
        <w:rPr>
          <w:rStyle w:val="Referencingstyle"/>
        </w:rPr>
        <w:t>1</w:t>
      </w:r>
      <w:r w:rsidRPr="002420B7">
        <w:rPr>
          <w:rStyle w:val="Referencingstyle"/>
        </w:rPr>
        <w:t>, item</w:t>
      </w:r>
      <w:r>
        <w:rPr>
          <w:rStyle w:val="Referencingstyle"/>
        </w:rPr>
        <w:t xml:space="preserve"> 1, </w:t>
      </w:r>
      <w:r w:rsidRPr="002420B7">
        <w:rPr>
          <w:rStyle w:val="Referencingstyle"/>
        </w:rPr>
        <w:t>subsections</w:t>
      </w:r>
      <w:r>
        <w:rPr>
          <w:rStyle w:val="Referencingstyle"/>
        </w:rPr>
        <w:t> 276</w:t>
      </w:r>
      <w:r w:rsidR="00554796">
        <w:rPr>
          <w:rStyle w:val="Referencingstyle"/>
        </w:rPr>
        <w:noBreakHyphen/>
      </w:r>
      <w:proofErr w:type="gramStart"/>
      <w:r w:rsidR="00C176A3">
        <w:rPr>
          <w:rStyle w:val="Referencingstyle"/>
        </w:rPr>
        <w:t>20(</w:t>
      </w:r>
      <w:proofErr w:type="gramEnd"/>
      <w:r w:rsidR="00C176A3">
        <w:rPr>
          <w:rStyle w:val="Referencingstyle"/>
        </w:rPr>
        <w:t>2) and</w:t>
      </w:r>
      <w:r>
        <w:rPr>
          <w:rStyle w:val="Referencingstyle"/>
        </w:rPr>
        <w:t> 276</w:t>
      </w:r>
      <w:r w:rsidR="00554796">
        <w:rPr>
          <w:rStyle w:val="Referencingstyle"/>
        </w:rPr>
        <w:noBreakHyphen/>
        <w:t>22</w:t>
      </w:r>
      <w:r w:rsidRPr="002420B7">
        <w:rPr>
          <w:rStyle w:val="Referencingstyle"/>
        </w:rPr>
        <w:t>(</w:t>
      </w:r>
      <w:r w:rsidR="00C176A3">
        <w:rPr>
          <w:rStyle w:val="Referencingstyle"/>
        </w:rPr>
        <w:t>1</w:t>
      </w:r>
      <w:r w:rsidRPr="002420B7">
        <w:rPr>
          <w:rStyle w:val="Referencingstyle"/>
        </w:rPr>
        <w:t>) to (6)]</w:t>
      </w:r>
    </w:p>
    <w:p w14:paraId="1A54006E" w14:textId="77777777" w:rsidR="0016134B" w:rsidRDefault="0016134B" w:rsidP="00795565">
      <w:pPr>
        <w:pStyle w:val="base-text-paragraph"/>
      </w:pPr>
      <w:r w:rsidRPr="00BF3D02">
        <w:t>These requirements reflect the widely</w:t>
      </w:r>
      <w:r w:rsidRPr="00BF3D02">
        <w:noBreakHyphen/>
        <w:t xml:space="preserve">held requirements under the AMIT regime for trusts </w:t>
      </w:r>
      <w:r w:rsidRPr="002420B7">
        <w:t>without</w:t>
      </w:r>
      <w:r w:rsidRPr="00BF3D02">
        <w:t xml:space="preserve"> wholesale membership (see su</w:t>
      </w:r>
      <w:r>
        <w:t>bparagraph 275</w:t>
      </w:r>
      <w:r>
        <w:noBreakHyphen/>
      </w:r>
      <w:proofErr w:type="gramStart"/>
      <w:r>
        <w:t>10(</w:t>
      </w:r>
      <w:proofErr w:type="gramEnd"/>
      <w:r>
        <w:t>3)(e)(ii), subsection 275</w:t>
      </w:r>
      <w:r>
        <w:noBreakHyphen/>
        <w:t>20(2) and section 275</w:t>
      </w:r>
      <w:r>
        <w:noBreakHyphen/>
        <w:t>25</w:t>
      </w:r>
      <w:r w:rsidRPr="00BF3D02">
        <w:t>), with modifications to remove inapplicable trust elements and apply the test to each sub</w:t>
      </w:r>
      <w:r w:rsidRPr="00BF3D02">
        <w:noBreakHyphen/>
        <w:t>fund of the CCIV.</w:t>
      </w:r>
      <w:r w:rsidRPr="005D7FB0">
        <w:t xml:space="preserve"> </w:t>
      </w:r>
    </w:p>
    <w:p w14:paraId="7DB07ECC" w14:textId="46BECCA0" w:rsidR="0016134B" w:rsidRDefault="0016134B" w:rsidP="0016134B">
      <w:pPr>
        <w:pStyle w:val="base-text-paragraph"/>
        <w:numPr>
          <w:ilvl w:val="1"/>
          <w:numId w:val="44"/>
        </w:numPr>
      </w:pPr>
      <w:r>
        <w:t xml:space="preserve">The amendments apply the existing AMIT provisions for determining the number of members of the trust </w:t>
      </w:r>
      <w:r w:rsidRPr="00BF3D02">
        <w:t>(see</w:t>
      </w:r>
      <w:r>
        <w:t xml:space="preserve"> subsections 275</w:t>
      </w:r>
      <w:r>
        <w:noBreakHyphen/>
      </w:r>
      <w:proofErr w:type="gramStart"/>
      <w:r>
        <w:t>20(</w:t>
      </w:r>
      <w:proofErr w:type="gramEnd"/>
      <w:r>
        <w:t xml:space="preserve">3), (5), (7)) to CCIVs with modifications to </w:t>
      </w:r>
      <w:r w:rsidRPr="00BF3D02">
        <w:t xml:space="preserve">remove </w:t>
      </w:r>
      <w:r w:rsidRPr="00BF3D02">
        <w:lastRenderedPageBreak/>
        <w:t>inapplicable trust elements and apply the test</w:t>
      </w:r>
      <w:r>
        <w:t>s</w:t>
      </w:r>
      <w:r w:rsidRPr="00BF3D02">
        <w:t xml:space="preserve"> to each sub</w:t>
      </w:r>
      <w:r w:rsidRPr="00BF3D02">
        <w:noBreakHyphen/>
        <w:t>fund of the CCIV.</w:t>
      </w:r>
      <w:r>
        <w:t xml:space="preserve"> </w:t>
      </w:r>
      <w:r w:rsidRPr="002420B7">
        <w:rPr>
          <w:rStyle w:val="Referencingstyle"/>
        </w:rPr>
        <w:t xml:space="preserve">[Schedule </w:t>
      </w:r>
      <w:r w:rsidR="00C176A3">
        <w:rPr>
          <w:rStyle w:val="Referencingstyle"/>
        </w:rPr>
        <w:t>1</w:t>
      </w:r>
      <w:r w:rsidRPr="002420B7">
        <w:rPr>
          <w:rStyle w:val="Referencingstyle"/>
        </w:rPr>
        <w:t>, item</w:t>
      </w:r>
      <w:r>
        <w:rPr>
          <w:rStyle w:val="Referencingstyle"/>
        </w:rPr>
        <w:t xml:space="preserve"> 1</w:t>
      </w:r>
      <w:r w:rsidRPr="002420B7">
        <w:rPr>
          <w:rStyle w:val="Referencingstyle"/>
        </w:rPr>
        <w:t>, subsections 27</w:t>
      </w:r>
      <w:r w:rsidR="00C176A3">
        <w:rPr>
          <w:rStyle w:val="Referencingstyle"/>
        </w:rPr>
        <w:t>6</w:t>
      </w:r>
      <w:r w:rsidRPr="002420B7">
        <w:rPr>
          <w:rStyle w:val="Referencingstyle"/>
        </w:rPr>
        <w:t>-2</w:t>
      </w:r>
      <w:r w:rsidR="00C176A3">
        <w:rPr>
          <w:rStyle w:val="Referencingstyle"/>
        </w:rPr>
        <w:t>0</w:t>
      </w:r>
      <w:r w:rsidRPr="002420B7">
        <w:rPr>
          <w:rStyle w:val="Referencingstyle"/>
        </w:rPr>
        <w:t xml:space="preserve">(7) </w:t>
      </w:r>
      <w:r w:rsidR="00DA44FA">
        <w:rPr>
          <w:rStyle w:val="Referencingstyle"/>
        </w:rPr>
        <w:t>to (9</w:t>
      </w:r>
      <w:r w:rsidRPr="002420B7">
        <w:rPr>
          <w:rStyle w:val="Referencingstyle"/>
        </w:rPr>
        <w:t>)]</w:t>
      </w:r>
    </w:p>
    <w:p w14:paraId="76FD6472" w14:textId="77777777" w:rsidR="0016134B" w:rsidRPr="00BF3D02" w:rsidRDefault="0016134B" w:rsidP="0016134B">
      <w:pPr>
        <w:pStyle w:val="Heading5"/>
      </w:pPr>
      <w:r w:rsidRPr="00BF3D02">
        <w:t>Closely</w:t>
      </w:r>
      <w:r w:rsidRPr="00BF3D02">
        <w:noBreakHyphen/>
        <w:t>held restrictions</w:t>
      </w:r>
    </w:p>
    <w:p w14:paraId="720371DB" w14:textId="77777777" w:rsidR="0016134B" w:rsidRPr="00BF3D02" w:rsidRDefault="0016134B" w:rsidP="0016134B">
      <w:pPr>
        <w:pStyle w:val="base-text-paragraph"/>
        <w:numPr>
          <w:ilvl w:val="1"/>
          <w:numId w:val="44"/>
        </w:numPr>
      </w:pPr>
      <w:r w:rsidRPr="00BF3D02">
        <w:t xml:space="preserve">The closely held restrictions for a </w:t>
      </w:r>
      <w:r>
        <w:t>sub</w:t>
      </w:r>
      <w:r>
        <w:noBreakHyphen/>
        <w:t>fund</w:t>
      </w:r>
      <w:r w:rsidRPr="00BF3D02">
        <w:t xml:space="preserve"> are met unless, at any time during the income year:</w:t>
      </w:r>
    </w:p>
    <w:p w14:paraId="0933D5EC" w14:textId="77777777" w:rsidR="0016134B" w:rsidRPr="00BF3D02" w:rsidRDefault="0016134B" w:rsidP="0016134B">
      <w:pPr>
        <w:pStyle w:val="dotpoint"/>
      </w:pPr>
      <w:r w:rsidRPr="00BF3D02">
        <w:t>for a sub</w:t>
      </w:r>
      <w:r w:rsidRPr="00BF3D02">
        <w:noBreakHyphen/>
        <w:t xml:space="preserve">fund with wholesale membership </w:t>
      </w:r>
      <w:r>
        <w:t>—</w:t>
      </w:r>
      <w:r w:rsidRPr="00BF3D02">
        <w:t xml:space="preserve"> 10 or fewer persons have a total sub</w:t>
      </w:r>
      <w:r w:rsidRPr="00BF3D02">
        <w:noBreakHyphen/>
        <w:t>fund participation interest in the sub</w:t>
      </w:r>
      <w:r w:rsidRPr="00BF3D02">
        <w:noBreakHyphen/>
        <w:t>fund of 75 per cent or more;</w:t>
      </w:r>
    </w:p>
    <w:p w14:paraId="24A27FD9" w14:textId="77777777" w:rsidR="0016134B" w:rsidRPr="00BF3D02" w:rsidRDefault="0016134B" w:rsidP="0016134B">
      <w:pPr>
        <w:pStyle w:val="dotpoint"/>
      </w:pPr>
      <w:r w:rsidRPr="00BF3D02">
        <w:t>for a sub</w:t>
      </w:r>
      <w:r w:rsidRPr="00BF3D02">
        <w:noBreakHyphen/>
        <w:t xml:space="preserve">fund without wholesale membership </w:t>
      </w:r>
      <w:r>
        <w:t>—</w:t>
      </w:r>
      <w:r w:rsidRPr="00BF3D02">
        <w:t xml:space="preserve"> 20 or fewer persons have a total sub</w:t>
      </w:r>
      <w:r w:rsidRPr="00BF3D02">
        <w:noBreakHyphen/>
        <w:t>fund participation interest in the sub</w:t>
      </w:r>
      <w:r w:rsidRPr="00BF3D02">
        <w:noBreakHyphen/>
        <w:t>fund of 75 per cent or more; or</w:t>
      </w:r>
    </w:p>
    <w:p w14:paraId="090F7BC1" w14:textId="77777777" w:rsidR="0016134B" w:rsidRPr="00BF3D02" w:rsidRDefault="0016134B" w:rsidP="0016134B">
      <w:pPr>
        <w:pStyle w:val="dotpoint"/>
      </w:pPr>
      <w:proofErr w:type="gramStart"/>
      <w:r w:rsidRPr="00BF3D02">
        <w:t>a</w:t>
      </w:r>
      <w:proofErr w:type="gramEnd"/>
      <w:r w:rsidRPr="00BF3D02">
        <w:t xml:space="preserve"> foreign resident individual has a sub</w:t>
      </w:r>
      <w:r w:rsidRPr="00BF3D02">
        <w:noBreakHyphen/>
        <w:t>fund participation interest in the sub</w:t>
      </w:r>
      <w:r w:rsidRPr="00BF3D02">
        <w:noBreakHyphen/>
        <w:t>fund of 10 per cent or more.</w:t>
      </w:r>
    </w:p>
    <w:p w14:paraId="320B5F60" w14:textId="45820B9A" w:rsidR="0016134B" w:rsidRPr="00BF3D02" w:rsidRDefault="0016134B" w:rsidP="0016134B">
      <w:pPr>
        <w:pStyle w:val="base-text-paragraphnonumbers"/>
        <w:rPr>
          <w:rStyle w:val="Referencingstyle"/>
        </w:rPr>
      </w:pPr>
      <w:r w:rsidRPr="00BF3D02">
        <w:rPr>
          <w:rStyle w:val="Referencingstyle"/>
        </w:rPr>
        <w:t>[Schedu</w:t>
      </w:r>
      <w:r w:rsidR="00EE2075">
        <w:rPr>
          <w:rStyle w:val="Referencingstyle"/>
        </w:rPr>
        <w:t xml:space="preserve">le </w:t>
      </w:r>
      <w:r w:rsidR="00C176A3">
        <w:rPr>
          <w:rStyle w:val="Referencingstyle"/>
        </w:rPr>
        <w:t>1</w:t>
      </w:r>
      <w:r w:rsidR="00EE2075">
        <w:rPr>
          <w:rStyle w:val="Referencingstyle"/>
        </w:rPr>
        <w:t>, item 1, section 276</w:t>
      </w:r>
      <w:r w:rsidR="00EE2075">
        <w:rPr>
          <w:rStyle w:val="Referencingstyle"/>
        </w:rPr>
        <w:noBreakHyphen/>
        <w:t>24</w:t>
      </w:r>
      <w:r w:rsidRPr="00BF3D02">
        <w:rPr>
          <w:rStyle w:val="Referencingstyle"/>
        </w:rPr>
        <w:t>]</w:t>
      </w:r>
    </w:p>
    <w:p w14:paraId="7956AB8E" w14:textId="77777777" w:rsidR="0016134B" w:rsidRPr="00BF3D02" w:rsidRDefault="0016134B" w:rsidP="0016134B">
      <w:pPr>
        <w:pStyle w:val="base-text-paragraph"/>
        <w:numPr>
          <w:ilvl w:val="1"/>
          <w:numId w:val="44"/>
        </w:numPr>
      </w:pPr>
      <w:r w:rsidRPr="00BF3D02">
        <w:t>These requirements reflect the closely</w:t>
      </w:r>
      <w:r w:rsidRPr="00BF3D02">
        <w:noBreakHyphen/>
        <w:t>held restrictions under the AMIT regime for trusts (see paragraph 275</w:t>
      </w:r>
      <w:r w:rsidRPr="00BF3D02">
        <w:noBreakHyphen/>
      </w:r>
      <w:proofErr w:type="gramStart"/>
      <w:r w:rsidRPr="00BF3D02">
        <w:t>10(</w:t>
      </w:r>
      <w:proofErr w:type="gramEnd"/>
      <w:r w:rsidRPr="00BF3D02">
        <w:t>3)(f) and section 275</w:t>
      </w:r>
      <w:r w:rsidRPr="00BF3D02">
        <w:noBreakHyphen/>
        <w:t>30), with modifications to apply the test to each sub</w:t>
      </w:r>
      <w:r w:rsidRPr="00BF3D02">
        <w:noBreakHyphen/>
        <w:t>fund of the CCIV.</w:t>
      </w:r>
    </w:p>
    <w:p w14:paraId="0D0063F2" w14:textId="77777777" w:rsidR="0016134B" w:rsidRPr="00BF3D02" w:rsidRDefault="0016134B" w:rsidP="0016134B">
      <w:pPr>
        <w:pStyle w:val="Heading5"/>
      </w:pPr>
      <w:r w:rsidRPr="00EA0618">
        <w:t>Alternative test to satisfying the widely</w:t>
      </w:r>
      <w:r w:rsidRPr="00EA0618">
        <w:noBreakHyphen/>
        <w:t>held requirements and closely</w:t>
      </w:r>
      <w:r w:rsidRPr="00EA0618">
        <w:noBreakHyphen/>
        <w:t>held restrictions</w:t>
      </w:r>
    </w:p>
    <w:p w14:paraId="6306EA0B" w14:textId="0135E256" w:rsidR="0016134B" w:rsidRPr="00841E61" w:rsidRDefault="0016134B" w:rsidP="0016134B">
      <w:pPr>
        <w:pStyle w:val="base-text-paragraph"/>
        <w:numPr>
          <w:ilvl w:val="1"/>
          <w:numId w:val="44"/>
        </w:numPr>
      </w:pPr>
      <w:r w:rsidRPr="00182626">
        <w:t>If the sub</w:t>
      </w:r>
      <w:r w:rsidRPr="00BF3D02">
        <w:noBreakHyphen/>
        <w:t>fund h</w:t>
      </w:r>
      <w:r w:rsidR="005B6464">
        <w:t xml:space="preserve">as all members that </w:t>
      </w:r>
      <w:r w:rsidR="00B91AB2">
        <w:t xml:space="preserve">are either </w:t>
      </w:r>
      <w:r w:rsidRPr="00BF3D02">
        <w:t>CC</w:t>
      </w:r>
      <w:r w:rsidR="005B6464">
        <w:t>IV</w:t>
      </w:r>
      <w:r w:rsidR="00B91AB2">
        <w:t>s</w:t>
      </w:r>
      <w:r>
        <w:t>,</w:t>
      </w:r>
      <w:r w:rsidRPr="00BF3D02">
        <w:t xml:space="preserve"> MITs</w:t>
      </w:r>
      <w:r>
        <w:t xml:space="preserve"> or other specified widely-held entities </w:t>
      </w:r>
      <w:r w:rsidR="008F6138">
        <w:t>covered by subsection </w:t>
      </w:r>
      <w:r w:rsidR="00811749" w:rsidRPr="00BF3D02">
        <w:t>275</w:t>
      </w:r>
      <w:r w:rsidR="00811749" w:rsidRPr="00BF3D02">
        <w:noBreakHyphen/>
      </w:r>
      <w:proofErr w:type="gramStart"/>
      <w:r w:rsidR="00811749" w:rsidRPr="00BF3D02">
        <w:t>20(</w:t>
      </w:r>
      <w:proofErr w:type="gramEnd"/>
      <w:r w:rsidR="00811749" w:rsidRPr="00BF3D02">
        <w:t>4</w:t>
      </w:r>
      <w:r>
        <w:t xml:space="preserve">) </w:t>
      </w:r>
      <w:r w:rsidRPr="00BF3D02">
        <w:t>for an income year, the relevant sub</w:t>
      </w:r>
      <w:r w:rsidRPr="00BF3D02">
        <w:noBreakHyphen/>
        <w:t xml:space="preserve">fund </w:t>
      </w:r>
      <w:r>
        <w:t>is taken</w:t>
      </w:r>
      <w:r w:rsidRPr="00BF3D02">
        <w:t xml:space="preserve"> to satisfy the widely</w:t>
      </w:r>
      <w:r w:rsidRPr="00BF3D02">
        <w:noBreakHyphen/>
        <w:t>held requirements and closely</w:t>
      </w:r>
      <w:r w:rsidRPr="00BF3D02">
        <w:noBreakHyphen/>
        <w:t xml:space="preserve">held restrictions. </w:t>
      </w:r>
      <w:r>
        <w:rPr>
          <w:rStyle w:val="Referencingstyle"/>
        </w:rPr>
        <w:t xml:space="preserve">[Schedule </w:t>
      </w:r>
      <w:r w:rsidR="00C176A3">
        <w:rPr>
          <w:rStyle w:val="Referencingstyle"/>
        </w:rPr>
        <w:t>1</w:t>
      </w:r>
      <w:r>
        <w:rPr>
          <w:rStyle w:val="Referencingstyle"/>
        </w:rPr>
        <w:t>, item 1</w:t>
      </w:r>
      <w:r w:rsidRPr="00BF3D02">
        <w:rPr>
          <w:rStyle w:val="Referencingstyle"/>
        </w:rPr>
        <w:t>, paragraph</w:t>
      </w:r>
      <w:r w:rsidR="00811749">
        <w:rPr>
          <w:rStyle w:val="Referencingstyle"/>
        </w:rPr>
        <w:t> </w:t>
      </w:r>
      <w:r w:rsidRPr="00BF3D02">
        <w:rPr>
          <w:rStyle w:val="Referencingstyle"/>
        </w:rPr>
        <w:t>276</w:t>
      </w:r>
      <w:r w:rsidRPr="00BF3D02">
        <w:rPr>
          <w:rStyle w:val="Referencingstyle"/>
        </w:rPr>
        <w:noBreakHyphen/>
        <w:t>20(2)(b)]</w:t>
      </w:r>
    </w:p>
    <w:p w14:paraId="1B4D8B81" w14:textId="141657A9" w:rsidR="0016134B" w:rsidRPr="00841E61" w:rsidRDefault="0016134B" w:rsidP="0016134B">
      <w:pPr>
        <w:pStyle w:val="base-text-paragraph"/>
        <w:numPr>
          <w:ilvl w:val="1"/>
          <w:numId w:val="44"/>
        </w:numPr>
      </w:pPr>
      <w:r w:rsidRPr="00841E61">
        <w:t>This requirement aligns with the AMIT regime alternative test for satisfying the widely</w:t>
      </w:r>
      <w:r w:rsidRPr="00841E61">
        <w:noBreakHyphen/>
        <w:t>held requirements and closely</w:t>
      </w:r>
      <w:r w:rsidRPr="00841E61">
        <w:noBreakHyphen/>
        <w:t>held restrictions (see paragraphs 276</w:t>
      </w:r>
      <w:r w:rsidRPr="00841E61">
        <w:noBreakHyphen/>
      </w:r>
      <w:proofErr w:type="gramStart"/>
      <w:r w:rsidRPr="00841E61">
        <w:t>10(</w:t>
      </w:r>
      <w:proofErr w:type="gramEnd"/>
      <w:r w:rsidRPr="00841E61">
        <w:t>1)(c) and 275</w:t>
      </w:r>
      <w:r w:rsidRPr="00841E61">
        <w:noBreakHyphen/>
        <w:t>10(1)(b)).</w:t>
      </w:r>
    </w:p>
    <w:p w14:paraId="08ED8FBC" w14:textId="77777777" w:rsidR="0016134B" w:rsidRPr="00BF3D02" w:rsidRDefault="0016134B" w:rsidP="0016134B">
      <w:pPr>
        <w:pStyle w:val="Heading5"/>
      </w:pPr>
      <w:r>
        <w:t>T</w:t>
      </w:r>
      <w:r w:rsidRPr="00BF3D02">
        <w:t>rading business restrictions</w:t>
      </w:r>
    </w:p>
    <w:p w14:paraId="1CAFD7CC" w14:textId="2C18DBB9" w:rsidR="0016134B" w:rsidRPr="00BF3D02" w:rsidRDefault="00B436E3" w:rsidP="0016134B">
      <w:pPr>
        <w:pStyle w:val="base-text-paragraph"/>
        <w:numPr>
          <w:ilvl w:val="1"/>
          <w:numId w:val="44"/>
        </w:numPr>
      </w:pPr>
      <w:r>
        <w:t>A sub-fund of a CCIV</w:t>
      </w:r>
      <w:r w:rsidR="0016134B">
        <w:t xml:space="preserve"> </w:t>
      </w:r>
      <w:r w:rsidR="0016134B" w:rsidRPr="00BF3D02">
        <w:t xml:space="preserve">must satisfy the trading business </w:t>
      </w:r>
      <w:r w:rsidR="0016134B">
        <w:t>restrictions</w:t>
      </w:r>
      <w:r w:rsidR="0063089A">
        <w:t xml:space="preserve"> </w:t>
      </w:r>
      <w:r w:rsidR="00C60EAD">
        <w:t>—</w:t>
      </w:r>
      <w:r w:rsidR="0063089A">
        <w:t xml:space="preserve"> </w:t>
      </w:r>
      <w:r w:rsidR="0016134B">
        <w:t>that is,</w:t>
      </w:r>
      <w:r w:rsidR="00A901F9">
        <w:t xml:space="preserve"> the CCIV in relation to the sub-fund, must not wholly or partly</w:t>
      </w:r>
      <w:r w:rsidR="0016134B" w:rsidRPr="00BF3D02">
        <w:t>:</w:t>
      </w:r>
    </w:p>
    <w:p w14:paraId="20F65EF0" w14:textId="77777777" w:rsidR="0016134B" w:rsidRPr="00BF3D02" w:rsidRDefault="0016134B" w:rsidP="0016134B">
      <w:pPr>
        <w:pStyle w:val="dotpoint"/>
      </w:pPr>
      <w:r w:rsidRPr="00BF3D02">
        <w:t>carry on a trading business (within the meaning of Division</w:t>
      </w:r>
      <w:r>
        <w:t> </w:t>
      </w:r>
      <w:r w:rsidRPr="00BF3D02">
        <w:t xml:space="preserve">6C of Part III of the </w:t>
      </w:r>
      <w:r w:rsidRPr="007111CD">
        <w:t>ITAA 1936</w:t>
      </w:r>
      <w:r w:rsidRPr="00BF3D02">
        <w:t>); or</w:t>
      </w:r>
    </w:p>
    <w:p w14:paraId="26A4EF03" w14:textId="22A3E58F" w:rsidR="0016134B" w:rsidRPr="00BF3D02" w:rsidRDefault="0016134B" w:rsidP="0075675F">
      <w:pPr>
        <w:pStyle w:val="dotpoint"/>
        <w:keepNext/>
        <w:ind w:left="2269"/>
      </w:pPr>
      <w:proofErr w:type="gramStart"/>
      <w:r w:rsidRPr="00BF3D02">
        <w:t>control</w:t>
      </w:r>
      <w:proofErr w:type="gramEnd"/>
      <w:r w:rsidRPr="00BF3D02">
        <w:t xml:space="preserve">, or </w:t>
      </w:r>
      <w:r>
        <w:t>be</w:t>
      </w:r>
      <w:r w:rsidRPr="00BF3D02">
        <w:t xml:space="preserve"> able to control, directly or indirectly, the affairs or operations of another person in respect of the carrying on by that other person of a trading business.</w:t>
      </w:r>
    </w:p>
    <w:p w14:paraId="2072070E" w14:textId="5F5DFB4B" w:rsidR="0016134B" w:rsidRPr="00BF3D02" w:rsidRDefault="0016134B" w:rsidP="0016134B">
      <w:pPr>
        <w:pStyle w:val="base-text-paragraphnonumbers"/>
        <w:rPr>
          <w:rStyle w:val="Referencingstyle"/>
        </w:rPr>
      </w:pPr>
      <w:r w:rsidRPr="00BF3D02">
        <w:rPr>
          <w:rStyle w:val="Referencingstyle"/>
        </w:rPr>
        <w:t xml:space="preserve">[Schedule </w:t>
      </w:r>
      <w:r w:rsidR="00C176A3">
        <w:rPr>
          <w:rStyle w:val="Referencingstyle"/>
        </w:rPr>
        <w:t>1</w:t>
      </w:r>
      <w:r w:rsidRPr="00BF3D02">
        <w:rPr>
          <w:rStyle w:val="Referencingstyle"/>
        </w:rPr>
        <w:t>, item</w:t>
      </w:r>
      <w:r>
        <w:rPr>
          <w:rStyle w:val="Referencingstyle"/>
        </w:rPr>
        <w:t xml:space="preserve"> 1</w:t>
      </w:r>
      <w:r w:rsidRPr="00BF3D02">
        <w:rPr>
          <w:rStyle w:val="Referencingstyle"/>
        </w:rPr>
        <w:t>, paragraph 276</w:t>
      </w:r>
      <w:r w:rsidRPr="00BF3D02">
        <w:rPr>
          <w:rStyle w:val="Referencingstyle"/>
        </w:rPr>
        <w:noBreakHyphen/>
      </w:r>
      <w:proofErr w:type="gramStart"/>
      <w:r w:rsidRPr="00BF3D02">
        <w:rPr>
          <w:rStyle w:val="Referencingstyle"/>
        </w:rPr>
        <w:t>20(</w:t>
      </w:r>
      <w:proofErr w:type="gramEnd"/>
      <w:r w:rsidRPr="00BF3D02">
        <w:rPr>
          <w:rStyle w:val="Referencingstyle"/>
        </w:rPr>
        <w:t>1)(</w:t>
      </w:r>
      <w:r w:rsidR="00C176A3">
        <w:rPr>
          <w:rStyle w:val="Referencingstyle"/>
        </w:rPr>
        <w:t>b</w:t>
      </w:r>
      <w:r w:rsidRPr="00BF3D02">
        <w:rPr>
          <w:rStyle w:val="Referencingstyle"/>
        </w:rPr>
        <w:t xml:space="preserve">) and </w:t>
      </w:r>
      <w:r>
        <w:rPr>
          <w:rStyle w:val="Referencingstyle"/>
        </w:rPr>
        <w:t>sub</w:t>
      </w:r>
      <w:r w:rsidR="00B436E3">
        <w:rPr>
          <w:rStyle w:val="Referencingstyle"/>
        </w:rPr>
        <w:t>section 276</w:t>
      </w:r>
      <w:r w:rsidR="00B436E3">
        <w:rPr>
          <w:rStyle w:val="Referencingstyle"/>
        </w:rPr>
        <w:noBreakHyphen/>
        <w:t>26</w:t>
      </w:r>
      <w:r>
        <w:rPr>
          <w:rStyle w:val="Referencingstyle"/>
        </w:rPr>
        <w:t>(1)</w:t>
      </w:r>
      <w:r w:rsidRPr="00BF3D02">
        <w:rPr>
          <w:rStyle w:val="Referencingstyle"/>
        </w:rPr>
        <w:t>]</w:t>
      </w:r>
    </w:p>
    <w:p w14:paraId="51856A11" w14:textId="57221E90" w:rsidR="0016134B" w:rsidRDefault="0016134B" w:rsidP="0016134B">
      <w:pPr>
        <w:pStyle w:val="base-text-paragraph"/>
        <w:numPr>
          <w:ilvl w:val="1"/>
          <w:numId w:val="44"/>
        </w:numPr>
      </w:pPr>
      <w:r w:rsidRPr="00BF3D02">
        <w:t xml:space="preserve">A trading business is a business </w:t>
      </w:r>
      <w:r w:rsidR="00C60EAD">
        <w:t xml:space="preserve">whose activities do not </w:t>
      </w:r>
      <w:r w:rsidRPr="00BF3D02">
        <w:t>wholly consist of ‘eligible</w:t>
      </w:r>
      <w:r w:rsidR="00C60EAD">
        <w:t xml:space="preserve"> investment business’ </w:t>
      </w:r>
      <w:r>
        <w:t xml:space="preserve">(as defined in section 102M of </w:t>
      </w:r>
      <w:r>
        <w:lastRenderedPageBreak/>
        <w:t>the ITAA 1936)</w:t>
      </w:r>
      <w:r w:rsidR="00811749">
        <w:t xml:space="preserve"> —</w:t>
      </w:r>
      <w:r w:rsidRPr="00BF3D02">
        <w:t xml:space="preserve"> that is, </w:t>
      </w:r>
      <w:r w:rsidR="0063089A">
        <w:t xml:space="preserve">broadly, </w:t>
      </w:r>
      <w:r w:rsidRPr="00BF3D02">
        <w:t>passive investment activities. The permitted activities include</w:t>
      </w:r>
      <w:r>
        <w:t>, for example,</w:t>
      </w:r>
      <w:r w:rsidRPr="00BF3D02">
        <w:t xml:space="preserve"> investing in land </w:t>
      </w:r>
      <w:r>
        <w:t>primarily for the purpose</w:t>
      </w:r>
      <w:r w:rsidRPr="00BF3D02">
        <w:t xml:space="preserve"> of deriving rent, and investing or trading in secured and unsecured loans, bonds and other securities and foreign exchange contracts.</w:t>
      </w:r>
    </w:p>
    <w:p w14:paraId="3481D37F" w14:textId="1BC978EB" w:rsidR="0016134B" w:rsidRDefault="00355B2B" w:rsidP="00795565">
      <w:pPr>
        <w:pStyle w:val="base-text-paragraph"/>
      </w:pPr>
      <w:r>
        <w:t>However, a</w:t>
      </w:r>
      <w:r w:rsidR="007049A8">
        <w:t xml:space="preserve"> </w:t>
      </w:r>
      <w:r>
        <w:t xml:space="preserve">sub-fund of a CCIV </w:t>
      </w:r>
      <w:r w:rsidR="0016134B">
        <w:t>will not be taken to carry on a trading business</w:t>
      </w:r>
      <w:r w:rsidR="007049A8">
        <w:t xml:space="preserve"> </w:t>
      </w:r>
      <w:r w:rsidR="0016134B">
        <w:t>during the income year</w:t>
      </w:r>
      <w:r w:rsidR="0073180E">
        <w:t>, either wholly or partly</w:t>
      </w:r>
      <w:r w:rsidR="0016134B">
        <w:t xml:space="preserve"> if</w:t>
      </w:r>
      <w:r w:rsidR="00811749">
        <w:t>,</w:t>
      </w:r>
      <w:r w:rsidR="0016134B">
        <w:t xml:space="preserve"> for that </w:t>
      </w:r>
      <w:r w:rsidR="00F9125E">
        <w:t xml:space="preserve">year, </w:t>
      </w:r>
      <w:r w:rsidR="0016134B">
        <w:t xml:space="preserve">no more than </w:t>
      </w:r>
      <w:r w:rsidR="00BB0C16">
        <w:t>2 </w:t>
      </w:r>
      <w:r w:rsidR="0016134B">
        <w:t>per cent of the entity</w:t>
      </w:r>
      <w:r w:rsidR="00F9125E">
        <w:t xml:space="preserve">’s gross revenue attributable </w:t>
      </w:r>
      <w:r w:rsidR="00E94B9B">
        <w:t xml:space="preserve">to </w:t>
      </w:r>
      <w:r w:rsidR="00F9125E">
        <w:t>th</w:t>
      </w:r>
      <w:r w:rsidR="00E94B9B">
        <w:t>at</w:t>
      </w:r>
      <w:r w:rsidR="0016134B">
        <w:t xml:space="preserve"> sub-fund was income that was</w:t>
      </w:r>
      <w:r w:rsidR="00406B58">
        <w:t xml:space="preserve"> not eligible investment business income</w:t>
      </w:r>
      <w:r w:rsidR="0016134B">
        <w:t xml:space="preserve">. </w:t>
      </w:r>
      <w:r w:rsidR="00F9125E">
        <w:rPr>
          <w:rStyle w:val="Referencingstyle"/>
        </w:rPr>
        <w:t xml:space="preserve">[Schedule </w:t>
      </w:r>
      <w:r w:rsidR="00C176A3">
        <w:rPr>
          <w:rStyle w:val="Referencingstyle"/>
        </w:rPr>
        <w:t>1</w:t>
      </w:r>
      <w:r w:rsidR="00F9125E">
        <w:rPr>
          <w:rStyle w:val="Referencingstyle"/>
        </w:rPr>
        <w:t>, item 1</w:t>
      </w:r>
      <w:r w:rsidR="00F9125E" w:rsidRPr="007111CD">
        <w:rPr>
          <w:rStyle w:val="Referencingstyle"/>
        </w:rPr>
        <w:t xml:space="preserve">, </w:t>
      </w:r>
      <w:r w:rsidR="00F9125E">
        <w:rPr>
          <w:rStyle w:val="Referencingstyle"/>
        </w:rPr>
        <w:t>sub</w:t>
      </w:r>
      <w:r w:rsidR="00F9125E" w:rsidRPr="007111CD">
        <w:rPr>
          <w:rStyle w:val="Referencingstyle"/>
        </w:rPr>
        <w:t>section</w:t>
      </w:r>
      <w:r w:rsidR="00F9125E">
        <w:rPr>
          <w:rStyle w:val="Referencingstyle"/>
        </w:rPr>
        <w:t xml:space="preserve"> 276-26(2)]</w:t>
      </w:r>
    </w:p>
    <w:p w14:paraId="77D2FB88" w14:textId="10368C1F" w:rsidR="0016134B" w:rsidRPr="001D00FE" w:rsidRDefault="0016134B" w:rsidP="00795565">
      <w:pPr>
        <w:pStyle w:val="base-text-paragraph"/>
      </w:pPr>
      <w:r>
        <w:t xml:space="preserve">The trading business restrictions for </w:t>
      </w:r>
      <w:r w:rsidR="00F9125E">
        <w:t>ASF’s</w:t>
      </w:r>
      <w:r>
        <w:t xml:space="preserve"> broadly align</w:t>
      </w:r>
      <w:r w:rsidRPr="00BF3D02">
        <w:t xml:space="preserve"> with the AMIT trading business restrictions </w:t>
      </w:r>
      <w:r>
        <w:t>(see paragraph 275</w:t>
      </w:r>
      <w:r>
        <w:noBreakHyphen/>
      </w:r>
      <w:proofErr w:type="gramStart"/>
      <w:r>
        <w:t>10(</w:t>
      </w:r>
      <w:proofErr w:type="gramEnd"/>
      <w:r>
        <w:t xml:space="preserve">3)(b), </w:t>
      </w:r>
      <w:r w:rsidRPr="00BF3D02">
        <w:t>subsection</w:t>
      </w:r>
      <w:r>
        <w:t>s</w:t>
      </w:r>
      <w:r w:rsidRPr="00BF3D02">
        <w:t xml:space="preserve"> 275</w:t>
      </w:r>
      <w:r w:rsidRPr="00BF3D02">
        <w:noBreakHyphen/>
        <w:t>10(4)</w:t>
      </w:r>
      <w:r>
        <w:t>, (4A</w:t>
      </w:r>
      <w:r w:rsidRPr="00BF3D02">
        <w:t>)</w:t>
      </w:r>
      <w:r>
        <w:t xml:space="preserve"> and (5))</w:t>
      </w:r>
      <w:r w:rsidRPr="00BF3D02">
        <w:t xml:space="preserve">. </w:t>
      </w:r>
    </w:p>
    <w:p w14:paraId="25207CA8" w14:textId="77777777" w:rsidR="0016134B" w:rsidRPr="00BF3D02" w:rsidRDefault="0016134B" w:rsidP="0063089A">
      <w:pPr>
        <w:pStyle w:val="Heading5"/>
      </w:pPr>
      <w:r>
        <w:t>T</w:t>
      </w:r>
      <w:r w:rsidRPr="00BF3D02">
        <w:t>emporary circumstances test</w:t>
      </w:r>
    </w:p>
    <w:p w14:paraId="6A5B0D53" w14:textId="26D88B1B" w:rsidR="0016134B" w:rsidRPr="00BF3D02" w:rsidRDefault="00D61622" w:rsidP="0016134B">
      <w:pPr>
        <w:pStyle w:val="base-text-paragraph"/>
        <w:numPr>
          <w:ilvl w:val="1"/>
          <w:numId w:val="44"/>
        </w:numPr>
      </w:pPr>
      <w:r>
        <w:t xml:space="preserve">A sub-fund of a CCIV </w:t>
      </w:r>
      <w:r w:rsidR="0016134B">
        <w:t xml:space="preserve">that fails to meet one of the </w:t>
      </w:r>
      <w:r>
        <w:t>ASF</w:t>
      </w:r>
      <w:r w:rsidR="0016134B">
        <w:t xml:space="preserve"> requirements under the general test may still be treated as an </w:t>
      </w:r>
      <w:r>
        <w:t>ASF</w:t>
      </w:r>
      <w:r w:rsidR="0016134B">
        <w:t xml:space="preserve"> if it satisfies the following requirements:</w:t>
      </w:r>
    </w:p>
    <w:p w14:paraId="234B650F" w14:textId="14236D78" w:rsidR="0016134B" w:rsidRPr="00BF3D02" w:rsidRDefault="0016134B" w:rsidP="0016134B">
      <w:pPr>
        <w:pStyle w:val="dotpoint"/>
      </w:pPr>
      <w:r w:rsidRPr="00BF3D02">
        <w:t xml:space="preserve">there is a particular temporary circumstance that arose outside the control of the </w:t>
      </w:r>
      <w:r w:rsidR="005A2966">
        <w:t>CCIV</w:t>
      </w:r>
      <w:r w:rsidRPr="00BF3D02">
        <w:t>;</w:t>
      </w:r>
      <w:r>
        <w:t xml:space="preserve"> and</w:t>
      </w:r>
    </w:p>
    <w:p w14:paraId="1E70A2F4" w14:textId="5FB409B9" w:rsidR="0016134B" w:rsidRDefault="0016134B" w:rsidP="0016134B">
      <w:pPr>
        <w:pStyle w:val="dotpoint"/>
      </w:pPr>
      <w:r w:rsidRPr="00BF3D02">
        <w:t xml:space="preserve">it is fair and reasonable to treat the </w:t>
      </w:r>
      <w:r w:rsidR="00D61622">
        <w:t>sub-fund</w:t>
      </w:r>
      <w:r w:rsidRPr="00BF3D02">
        <w:t xml:space="preserve"> as an A</w:t>
      </w:r>
      <w:r w:rsidR="00D61622">
        <w:t>SF</w:t>
      </w:r>
      <w:r w:rsidRPr="00BF3D02">
        <w:t xml:space="preserve"> </w:t>
      </w:r>
      <w:r>
        <w:t xml:space="preserve">in relation to the income year </w:t>
      </w:r>
      <w:r w:rsidRPr="00BF3D02">
        <w:t>having regard to a number of factors, including</w:t>
      </w:r>
      <w:r>
        <w:t>:</w:t>
      </w:r>
    </w:p>
    <w:p w14:paraId="62282E73" w14:textId="77777777" w:rsidR="0016134B" w:rsidRDefault="0016134B" w:rsidP="00811749">
      <w:pPr>
        <w:pStyle w:val="dotpoint2"/>
      </w:pPr>
      <w:r w:rsidRPr="00BF3D02">
        <w:t xml:space="preserve">the </w:t>
      </w:r>
      <w:r>
        <w:t>nature of the circumstance;</w:t>
      </w:r>
    </w:p>
    <w:p w14:paraId="3A8ADA61" w14:textId="7CD32F17" w:rsidR="0016134B" w:rsidRDefault="0016134B" w:rsidP="00811749">
      <w:pPr>
        <w:pStyle w:val="dotpoint2"/>
      </w:pPr>
      <w:r w:rsidRPr="00BF3D02">
        <w:t xml:space="preserve">actions taken to address the circumstance by the </w:t>
      </w:r>
      <w:r w:rsidR="005A2966">
        <w:t>CCIV</w:t>
      </w:r>
      <w:r>
        <w:t>;</w:t>
      </w:r>
    </w:p>
    <w:p w14:paraId="7BE88497" w14:textId="77777777" w:rsidR="0016134B" w:rsidRDefault="0016134B" w:rsidP="00811749">
      <w:pPr>
        <w:pStyle w:val="dotpoint2"/>
      </w:pPr>
      <w:r>
        <w:t>the speed with which such actions are taken;</w:t>
      </w:r>
    </w:p>
    <w:p w14:paraId="22338E64" w14:textId="77777777" w:rsidR="0016134B" w:rsidRDefault="0016134B" w:rsidP="00811749">
      <w:pPr>
        <w:pStyle w:val="dotpoint2"/>
      </w:pPr>
      <w:r w:rsidRPr="00BF3D02">
        <w:t>the amount of tax that would otherwise be payabl</w:t>
      </w:r>
      <w:r>
        <w:t xml:space="preserve">e; and </w:t>
      </w:r>
    </w:p>
    <w:p w14:paraId="2EEA5DA2" w14:textId="77777777" w:rsidR="0016134B" w:rsidRDefault="0016134B" w:rsidP="00811749">
      <w:pPr>
        <w:pStyle w:val="dotpoint2"/>
      </w:pPr>
      <w:proofErr w:type="gramStart"/>
      <w:r>
        <w:t>any</w:t>
      </w:r>
      <w:proofErr w:type="gramEnd"/>
      <w:r>
        <w:t xml:space="preserve"> other relevant matter.</w:t>
      </w:r>
    </w:p>
    <w:p w14:paraId="7016D861" w14:textId="02977CE7" w:rsidR="0016134B" w:rsidRPr="009B5C63" w:rsidRDefault="0016134B" w:rsidP="0016134B">
      <w:pPr>
        <w:pStyle w:val="base-text-paragraphnonumbers"/>
        <w:rPr>
          <w:rStyle w:val="Referencingstyle"/>
          <w:b w:val="0"/>
          <w:i w:val="0"/>
        </w:rPr>
      </w:pPr>
      <w:r w:rsidRPr="00BF3D02">
        <w:rPr>
          <w:rStyle w:val="Referencingstyle"/>
        </w:rPr>
        <w:t>[Schedule</w:t>
      </w:r>
      <w:r>
        <w:rPr>
          <w:rStyle w:val="Referencingstyle"/>
        </w:rPr>
        <w:t xml:space="preserve"> </w:t>
      </w:r>
      <w:r w:rsidR="00766531">
        <w:rPr>
          <w:rStyle w:val="Referencingstyle"/>
        </w:rPr>
        <w:t>1</w:t>
      </w:r>
      <w:r w:rsidRPr="00BF3D02">
        <w:rPr>
          <w:rStyle w:val="Referencingstyle"/>
        </w:rPr>
        <w:t>, item</w:t>
      </w:r>
      <w:r>
        <w:rPr>
          <w:rStyle w:val="Referencingstyle"/>
        </w:rPr>
        <w:t xml:space="preserve"> 1</w:t>
      </w:r>
      <w:r w:rsidRPr="00BF3D02">
        <w:rPr>
          <w:rStyle w:val="Referencingstyle"/>
        </w:rPr>
        <w:t>, subsection 276</w:t>
      </w:r>
      <w:r w:rsidRPr="00BF3D02">
        <w:rPr>
          <w:rStyle w:val="Referencingstyle"/>
        </w:rPr>
        <w:noBreakHyphen/>
      </w:r>
      <w:proofErr w:type="gramStart"/>
      <w:r w:rsidRPr="00BF3D02">
        <w:rPr>
          <w:rStyle w:val="Referencingstyle"/>
        </w:rPr>
        <w:t>20(</w:t>
      </w:r>
      <w:proofErr w:type="gramEnd"/>
      <w:r w:rsidR="00766531">
        <w:rPr>
          <w:rStyle w:val="Referencingstyle"/>
        </w:rPr>
        <w:t>3</w:t>
      </w:r>
      <w:r w:rsidRPr="00BF3D02">
        <w:rPr>
          <w:rStyle w:val="Referencingstyle"/>
        </w:rPr>
        <w:t>) and section 27</w:t>
      </w:r>
      <w:r w:rsidR="00D61622">
        <w:rPr>
          <w:rStyle w:val="Referencingstyle"/>
        </w:rPr>
        <w:t>6</w:t>
      </w:r>
      <w:r w:rsidR="00D61622">
        <w:rPr>
          <w:rStyle w:val="Referencingstyle"/>
        </w:rPr>
        <w:noBreakHyphen/>
        <w:t>30</w:t>
      </w:r>
      <w:r w:rsidRPr="00BF3D02">
        <w:rPr>
          <w:rStyle w:val="Referencingstyle"/>
        </w:rPr>
        <w:t>]</w:t>
      </w:r>
    </w:p>
    <w:p w14:paraId="3777FAD9" w14:textId="4455FBBB" w:rsidR="0016134B" w:rsidRDefault="0016134B" w:rsidP="0016134B">
      <w:pPr>
        <w:pStyle w:val="base-text-paragraph"/>
        <w:numPr>
          <w:ilvl w:val="1"/>
          <w:numId w:val="44"/>
        </w:numPr>
      </w:pPr>
      <w:r w:rsidRPr="00BF3D02">
        <w:t>This test reflects the temporary circumstances test</w:t>
      </w:r>
      <w:r w:rsidR="0088610B">
        <w:t xml:space="preserve"> for </w:t>
      </w:r>
      <w:r w:rsidR="0088610B" w:rsidRPr="00BF3D02">
        <w:t>MIT</w:t>
      </w:r>
      <w:r w:rsidR="0088610B">
        <w:t>s</w:t>
      </w:r>
      <w:r>
        <w:t xml:space="preserve"> (see section 275</w:t>
      </w:r>
      <w:r>
        <w:noBreakHyphen/>
        <w:t>55).</w:t>
      </w:r>
    </w:p>
    <w:p w14:paraId="75EDA3E4" w14:textId="57A3AE31" w:rsidR="00BA6DCE" w:rsidRDefault="00BA6DCE" w:rsidP="00BA6DCE">
      <w:pPr>
        <w:pStyle w:val="Heading4"/>
        <w:rPr>
          <w:rStyle w:val="Referencingstyle"/>
          <w:sz w:val="22"/>
        </w:rPr>
      </w:pPr>
      <w:r>
        <w:rPr>
          <w:rStyle w:val="Referencingstyle"/>
          <w:b/>
          <w:i/>
          <w:sz w:val="22"/>
        </w:rPr>
        <w:t>Application of</w:t>
      </w:r>
      <w:r w:rsidR="0063089A">
        <w:rPr>
          <w:rStyle w:val="Referencingstyle"/>
          <w:b/>
          <w:i/>
          <w:sz w:val="22"/>
        </w:rPr>
        <w:t xml:space="preserve"> the</w:t>
      </w:r>
      <w:r>
        <w:rPr>
          <w:rStyle w:val="Referencingstyle"/>
          <w:b/>
          <w:i/>
          <w:sz w:val="22"/>
        </w:rPr>
        <w:t xml:space="preserve"> </w:t>
      </w:r>
      <w:r w:rsidR="0063089A">
        <w:rPr>
          <w:rStyle w:val="Referencingstyle"/>
          <w:b/>
          <w:i/>
          <w:sz w:val="22"/>
        </w:rPr>
        <w:t xml:space="preserve">AIV rules </w:t>
      </w:r>
      <w:r>
        <w:rPr>
          <w:rStyle w:val="Referencingstyle"/>
          <w:b/>
          <w:i/>
          <w:sz w:val="22"/>
        </w:rPr>
        <w:t>to ASFs</w:t>
      </w:r>
    </w:p>
    <w:p w14:paraId="1F6669B7" w14:textId="6804BBA5" w:rsidR="0063089A" w:rsidRDefault="00CA2A6E" w:rsidP="00BA6DCE">
      <w:pPr>
        <w:pStyle w:val="base-text-paragraph"/>
        <w:numPr>
          <w:ilvl w:val="1"/>
          <w:numId w:val="44"/>
        </w:numPr>
      </w:pPr>
      <w:r>
        <w:rPr>
          <w:rStyle w:val="Referencingstyle"/>
          <w:b w:val="0"/>
          <w:i w:val="0"/>
          <w:sz w:val="22"/>
        </w:rPr>
        <w:t>T</w:t>
      </w:r>
      <w:r w:rsidR="00A901F9">
        <w:t>he AIV rules (</w:t>
      </w:r>
      <w:r w:rsidR="00A76FA4">
        <w:t>P</w:t>
      </w:r>
      <w:r w:rsidR="00BA6DCE">
        <w:t>art 3-28</w:t>
      </w:r>
      <w:r w:rsidR="00A901F9">
        <w:t>)</w:t>
      </w:r>
      <w:r w:rsidR="00BA6DCE">
        <w:t xml:space="preserve"> </w:t>
      </w:r>
      <w:r w:rsidR="00A901F9">
        <w:t>apply</w:t>
      </w:r>
      <w:r w:rsidR="0063089A">
        <w:t xml:space="preserve"> in relation to an ASF of a CCIV as if:</w:t>
      </w:r>
    </w:p>
    <w:p w14:paraId="159D6B98" w14:textId="40208EE7" w:rsidR="0063089A" w:rsidRDefault="00BA6DCE" w:rsidP="0063089A">
      <w:pPr>
        <w:pStyle w:val="dotpoint"/>
      </w:pPr>
      <w:r>
        <w:t>an amount derived, received</w:t>
      </w:r>
      <w:r w:rsidR="003D57B2">
        <w:t>,</w:t>
      </w:r>
      <w:r>
        <w:t xml:space="preserve"> made or paid by the CCIV that is a</w:t>
      </w:r>
      <w:r w:rsidR="0063089A">
        <w:t>ttributable to a particular sub</w:t>
      </w:r>
      <w:r w:rsidR="0063089A">
        <w:noBreakHyphen/>
      </w:r>
      <w:r>
        <w:t>fund</w:t>
      </w:r>
      <w:r w:rsidR="0063089A">
        <w:t xml:space="preserve"> </w:t>
      </w:r>
      <w:r w:rsidR="00CA2A6E">
        <w:t>was an</w:t>
      </w:r>
      <w:r w:rsidR="0063089A">
        <w:t xml:space="preserve"> amount </w:t>
      </w:r>
      <w:r>
        <w:t>derived, received, made or paid by that particular sub-fund</w:t>
      </w:r>
      <w:r w:rsidR="0063089A">
        <w:t>;</w:t>
      </w:r>
    </w:p>
    <w:p w14:paraId="0D8256F9" w14:textId="5FAB5246" w:rsidR="00CA2A6E" w:rsidRDefault="0063089A" w:rsidP="0063089A">
      <w:pPr>
        <w:pStyle w:val="dotpoint"/>
      </w:pPr>
      <w:r>
        <w:lastRenderedPageBreak/>
        <w:t xml:space="preserve">an amount of </w:t>
      </w:r>
      <w:r w:rsidR="00BA6DCE">
        <w:t xml:space="preserve">income of the CCIV </w:t>
      </w:r>
      <w:r>
        <w:t xml:space="preserve">that is </w:t>
      </w:r>
      <w:r w:rsidR="00BA6DCE">
        <w:t>attributable to a particular sub-fund</w:t>
      </w:r>
      <w:r>
        <w:t xml:space="preserve"> </w:t>
      </w:r>
      <w:r w:rsidR="00CA2A6E">
        <w:t>was an amount of income of that particular sub-fund; and</w:t>
      </w:r>
    </w:p>
    <w:p w14:paraId="58CCC8A0" w14:textId="019EC702" w:rsidR="0063089A" w:rsidRDefault="00BA6DCE" w:rsidP="0063089A">
      <w:pPr>
        <w:pStyle w:val="dotpoint"/>
      </w:pPr>
      <w:proofErr w:type="gramStart"/>
      <w:r>
        <w:t>a</w:t>
      </w:r>
      <w:proofErr w:type="gramEnd"/>
      <w:r>
        <w:t xml:space="preserve"> tax offset of the CCIV</w:t>
      </w:r>
      <w:r w:rsidR="00CA2A6E">
        <w:t xml:space="preserve"> that is attributable to a particular sub-fund was a</w:t>
      </w:r>
      <w:r>
        <w:t xml:space="preserve"> tax offset </w:t>
      </w:r>
      <w:r w:rsidR="00CA2A6E">
        <w:t>of that</w:t>
      </w:r>
      <w:r>
        <w:t xml:space="preserve"> particular sub-fund.</w:t>
      </w:r>
    </w:p>
    <w:p w14:paraId="20B287C3" w14:textId="7F90D09C" w:rsidR="00BA6DCE" w:rsidRPr="007E4CDA" w:rsidRDefault="00BA6DCE" w:rsidP="00CA2A6E">
      <w:pPr>
        <w:pStyle w:val="base-text-paragraphnonumbers"/>
        <w:rPr>
          <w:rStyle w:val="Referencingstyle"/>
          <w:b w:val="0"/>
          <w:i w:val="0"/>
          <w:sz w:val="22"/>
        </w:rPr>
      </w:pPr>
      <w:r w:rsidRPr="00BF3D02">
        <w:rPr>
          <w:rStyle w:val="Referencingstyle"/>
        </w:rPr>
        <w:t>[Schedule</w:t>
      </w:r>
      <w:r w:rsidR="007E4CDA">
        <w:rPr>
          <w:rStyle w:val="Referencingstyle"/>
        </w:rPr>
        <w:t xml:space="preserve"> 1</w:t>
      </w:r>
      <w:r w:rsidRPr="00BF3D02">
        <w:rPr>
          <w:rStyle w:val="Referencingstyle"/>
        </w:rPr>
        <w:t>, item</w:t>
      </w:r>
      <w:r w:rsidR="007E4CDA">
        <w:rPr>
          <w:rStyle w:val="Referencingstyle"/>
        </w:rPr>
        <w:t xml:space="preserve"> 1, </w:t>
      </w:r>
      <w:proofErr w:type="gramStart"/>
      <w:r w:rsidR="00CA2A6E">
        <w:rPr>
          <w:rStyle w:val="Referencingstyle"/>
        </w:rPr>
        <w:t>subsection</w:t>
      </w:r>
      <w:proofErr w:type="gramEnd"/>
      <w:r w:rsidR="007E4CDA">
        <w:rPr>
          <w:rStyle w:val="Referencingstyle"/>
        </w:rPr>
        <w:t xml:space="preserve"> 276-32</w:t>
      </w:r>
      <w:r w:rsidR="00CA2A6E">
        <w:rPr>
          <w:rStyle w:val="Referencingstyle"/>
        </w:rPr>
        <w:t>(1)</w:t>
      </w:r>
      <w:r w:rsidRPr="00BF3D02">
        <w:rPr>
          <w:rStyle w:val="Referencingstyle"/>
        </w:rPr>
        <w:t>]</w:t>
      </w:r>
    </w:p>
    <w:p w14:paraId="4426E265" w14:textId="6D2A4105" w:rsidR="00CA2A6E" w:rsidRDefault="00265672" w:rsidP="007E4CDA">
      <w:pPr>
        <w:pStyle w:val="base-text-paragraph"/>
        <w:rPr>
          <w:rStyle w:val="Referencingstyle"/>
          <w:b w:val="0"/>
          <w:i w:val="0"/>
          <w:sz w:val="22"/>
        </w:rPr>
      </w:pPr>
      <w:r>
        <w:rPr>
          <w:rStyle w:val="Referencingstyle"/>
          <w:b w:val="0"/>
          <w:i w:val="0"/>
          <w:sz w:val="22"/>
        </w:rPr>
        <w:t xml:space="preserve">In addition, </w:t>
      </w:r>
      <w:r w:rsidR="009B6C81">
        <w:rPr>
          <w:rStyle w:val="Referencingstyle"/>
          <w:b w:val="0"/>
          <w:i w:val="0"/>
          <w:sz w:val="22"/>
        </w:rPr>
        <w:t xml:space="preserve">where </w:t>
      </w:r>
      <w:r w:rsidR="00CA2A6E">
        <w:rPr>
          <w:rStyle w:val="Referencingstyle"/>
          <w:b w:val="0"/>
          <w:i w:val="0"/>
          <w:sz w:val="22"/>
        </w:rPr>
        <w:t xml:space="preserve">an AIV is an </w:t>
      </w:r>
      <w:r w:rsidR="007E4CDA">
        <w:rPr>
          <w:rStyle w:val="Referencingstyle"/>
          <w:b w:val="0"/>
          <w:i w:val="0"/>
          <w:sz w:val="22"/>
        </w:rPr>
        <w:t>ASF</w:t>
      </w:r>
      <w:r w:rsidR="00CA2A6E">
        <w:rPr>
          <w:rStyle w:val="Referencingstyle"/>
          <w:b w:val="0"/>
          <w:i w:val="0"/>
          <w:sz w:val="22"/>
        </w:rPr>
        <w:t xml:space="preserve"> of a CCIV:</w:t>
      </w:r>
    </w:p>
    <w:p w14:paraId="04DD7FF8" w14:textId="77777777" w:rsidR="00CA2A6E" w:rsidRDefault="007E4CDA" w:rsidP="00CA2A6E">
      <w:pPr>
        <w:pStyle w:val="dotpoint"/>
        <w:rPr>
          <w:rStyle w:val="Referencingstyle"/>
          <w:b w:val="0"/>
          <w:i w:val="0"/>
          <w:sz w:val="22"/>
        </w:rPr>
      </w:pPr>
      <w:r>
        <w:rPr>
          <w:rStyle w:val="Referencingstyle"/>
          <w:b w:val="0"/>
          <w:i w:val="0"/>
          <w:sz w:val="22"/>
        </w:rPr>
        <w:t xml:space="preserve">a provision of the taxation law </w:t>
      </w:r>
      <w:r w:rsidR="00CA2A6E">
        <w:rPr>
          <w:rStyle w:val="Referencingstyle"/>
          <w:b w:val="0"/>
          <w:i w:val="0"/>
          <w:sz w:val="22"/>
        </w:rPr>
        <w:t xml:space="preserve">that </w:t>
      </w:r>
      <w:r>
        <w:rPr>
          <w:rStyle w:val="Referencingstyle"/>
          <w:b w:val="0"/>
          <w:i w:val="0"/>
          <w:sz w:val="22"/>
        </w:rPr>
        <w:t>imposes a liability or obligation on the AIV is taken to impose the liability or obligation on the CCIV</w:t>
      </w:r>
      <w:r w:rsidR="00CA2A6E">
        <w:rPr>
          <w:rStyle w:val="Referencingstyle"/>
          <w:b w:val="0"/>
          <w:i w:val="0"/>
          <w:sz w:val="22"/>
        </w:rPr>
        <w:t>; and</w:t>
      </w:r>
    </w:p>
    <w:p w14:paraId="0E22F70A" w14:textId="77777777" w:rsidR="00CA2A6E" w:rsidRDefault="007E4CDA" w:rsidP="00CA2A6E">
      <w:pPr>
        <w:pStyle w:val="dotpoint"/>
        <w:rPr>
          <w:rStyle w:val="Referencingstyle"/>
          <w:b w:val="0"/>
          <w:i w:val="0"/>
          <w:sz w:val="22"/>
        </w:rPr>
      </w:pPr>
      <w:proofErr w:type="gramStart"/>
      <w:r>
        <w:rPr>
          <w:rStyle w:val="Referencingstyle"/>
          <w:b w:val="0"/>
          <w:i w:val="0"/>
          <w:sz w:val="22"/>
        </w:rPr>
        <w:t>a</w:t>
      </w:r>
      <w:proofErr w:type="gramEnd"/>
      <w:r>
        <w:rPr>
          <w:rStyle w:val="Referencingstyle"/>
          <w:b w:val="0"/>
          <w:i w:val="0"/>
          <w:sz w:val="22"/>
        </w:rPr>
        <w:t xml:space="preserve"> reference in the taxation </w:t>
      </w:r>
      <w:r w:rsidR="002E4BDC">
        <w:rPr>
          <w:rStyle w:val="Referencingstyle"/>
          <w:b w:val="0"/>
          <w:i w:val="0"/>
          <w:sz w:val="22"/>
        </w:rPr>
        <w:t xml:space="preserve">law </w:t>
      </w:r>
      <w:r>
        <w:rPr>
          <w:rStyle w:val="Referencingstyle"/>
          <w:b w:val="0"/>
          <w:i w:val="0"/>
          <w:sz w:val="22"/>
        </w:rPr>
        <w:t xml:space="preserve">to the </w:t>
      </w:r>
      <w:r w:rsidR="00CA2A6E">
        <w:rPr>
          <w:rStyle w:val="Referencingstyle"/>
          <w:b w:val="0"/>
          <w:i w:val="0"/>
          <w:sz w:val="22"/>
        </w:rPr>
        <w:t>AIV</w:t>
      </w:r>
      <w:r>
        <w:rPr>
          <w:rStyle w:val="Referencingstyle"/>
          <w:b w:val="0"/>
          <w:i w:val="0"/>
          <w:sz w:val="22"/>
        </w:rPr>
        <w:t xml:space="preserve"> </w:t>
      </w:r>
      <w:r w:rsidR="002E4BDC">
        <w:rPr>
          <w:rStyle w:val="Referencingstyle"/>
          <w:b w:val="0"/>
          <w:i w:val="0"/>
          <w:sz w:val="22"/>
        </w:rPr>
        <w:t>doing a thing is taken to be a reference to the CCIV</w:t>
      </w:r>
      <w:r w:rsidR="00CA2A6E">
        <w:rPr>
          <w:rStyle w:val="Referencingstyle"/>
          <w:b w:val="0"/>
          <w:i w:val="0"/>
          <w:sz w:val="22"/>
        </w:rPr>
        <w:t xml:space="preserve"> doing that thing</w:t>
      </w:r>
      <w:r w:rsidR="002E4BDC">
        <w:rPr>
          <w:rStyle w:val="Referencingstyle"/>
          <w:b w:val="0"/>
          <w:i w:val="0"/>
          <w:sz w:val="22"/>
        </w:rPr>
        <w:t>.</w:t>
      </w:r>
    </w:p>
    <w:p w14:paraId="2F311A33" w14:textId="0F1D54E9" w:rsidR="007E4CDA" w:rsidRDefault="002E4BDC" w:rsidP="00CA2A6E">
      <w:pPr>
        <w:pStyle w:val="base-text-paragraphnonumbers"/>
        <w:rPr>
          <w:rStyle w:val="Referencingstyle"/>
        </w:rPr>
      </w:pPr>
      <w:r w:rsidRPr="00BF3D02">
        <w:rPr>
          <w:rStyle w:val="Referencingstyle"/>
        </w:rPr>
        <w:t>[Schedule</w:t>
      </w:r>
      <w:r>
        <w:rPr>
          <w:rStyle w:val="Referencingstyle"/>
        </w:rPr>
        <w:t xml:space="preserve"> 1</w:t>
      </w:r>
      <w:r w:rsidRPr="00BF3D02">
        <w:rPr>
          <w:rStyle w:val="Referencingstyle"/>
        </w:rPr>
        <w:t>, item</w:t>
      </w:r>
      <w:r>
        <w:rPr>
          <w:rStyle w:val="Referencingstyle"/>
        </w:rPr>
        <w:t xml:space="preserve"> 1, </w:t>
      </w:r>
      <w:proofErr w:type="gramStart"/>
      <w:r>
        <w:rPr>
          <w:rStyle w:val="Referencingstyle"/>
        </w:rPr>
        <w:t>subsection</w:t>
      </w:r>
      <w:proofErr w:type="gramEnd"/>
      <w:r>
        <w:rPr>
          <w:rStyle w:val="Referencingstyle"/>
        </w:rPr>
        <w:t xml:space="preserve"> 276-32(2)</w:t>
      </w:r>
      <w:r w:rsidRPr="00BF3D02">
        <w:rPr>
          <w:rStyle w:val="Referencingstyle"/>
        </w:rPr>
        <w:t>]</w:t>
      </w:r>
    </w:p>
    <w:p w14:paraId="23B919BE" w14:textId="16A4D5EC" w:rsidR="00CA2A6E" w:rsidRPr="00BA6DCE" w:rsidRDefault="00CA2A6E" w:rsidP="00CA2A6E">
      <w:pPr>
        <w:pStyle w:val="base-text-paragraph"/>
        <w:rPr>
          <w:rStyle w:val="Referencingstyle"/>
          <w:b w:val="0"/>
          <w:i w:val="0"/>
          <w:sz w:val="22"/>
        </w:rPr>
      </w:pPr>
      <w:r>
        <w:rPr>
          <w:rStyle w:val="Referencingstyle"/>
          <w:b w:val="0"/>
          <w:i w:val="0"/>
          <w:sz w:val="22"/>
        </w:rPr>
        <w:t xml:space="preserve">These amendments reflect the fact that a CCIV is </w:t>
      </w:r>
      <w:r>
        <w:t>the legal entity that does things for the ASF (which is not a legal entity).</w:t>
      </w:r>
    </w:p>
    <w:p w14:paraId="5C3B9516" w14:textId="1524B6CA" w:rsidR="0016134B" w:rsidRDefault="0016134B" w:rsidP="0016134B">
      <w:pPr>
        <w:pStyle w:val="Heading3"/>
      </w:pPr>
      <w:r w:rsidRPr="00BF3D02">
        <w:t>Attribution model</w:t>
      </w:r>
      <w:r w:rsidR="005B5794">
        <w:t xml:space="preserve"> for </w:t>
      </w:r>
      <w:r w:rsidR="000D2B8A">
        <w:t>ASFs</w:t>
      </w:r>
    </w:p>
    <w:p w14:paraId="43BCFF8D" w14:textId="3F446D2D" w:rsidR="0016134B" w:rsidRDefault="0016134B" w:rsidP="001F3114">
      <w:pPr>
        <w:pStyle w:val="base-text-paragraph"/>
      </w:pPr>
      <w:r w:rsidRPr="00182626">
        <w:t xml:space="preserve">The </w:t>
      </w:r>
      <w:r w:rsidRPr="00BF3D02">
        <w:t xml:space="preserve">amendments </w:t>
      </w:r>
      <w:r w:rsidR="00AF1CF5">
        <w:t xml:space="preserve">in </w:t>
      </w:r>
      <w:r w:rsidR="00AF1CF5" w:rsidRPr="00BF3D02">
        <w:t xml:space="preserve">Schedule </w:t>
      </w:r>
      <w:r w:rsidR="00AF1CF5">
        <w:t>2</w:t>
      </w:r>
      <w:r w:rsidR="00AF1CF5" w:rsidRPr="00BF3D02">
        <w:t xml:space="preserve"> to th</w:t>
      </w:r>
      <w:r w:rsidR="00AF1CF5">
        <w:t>e</w:t>
      </w:r>
      <w:r w:rsidR="00AF1CF5" w:rsidRPr="00BF3D02">
        <w:t xml:space="preserve"> </w:t>
      </w:r>
      <w:r w:rsidR="00AF1CF5">
        <w:t xml:space="preserve">Exposure Draft </w:t>
      </w:r>
      <w:r w:rsidR="00AF1CF5" w:rsidRPr="00BF3D02">
        <w:t>Bill</w:t>
      </w:r>
      <w:r w:rsidRPr="00BF3D02">
        <w:t xml:space="preserve"> apply the existing AMIT attribution or ‘character flow</w:t>
      </w:r>
      <w:r w:rsidRPr="00BF3D02">
        <w:noBreakHyphen/>
        <w:t xml:space="preserve">through’ model </w:t>
      </w:r>
      <w:r>
        <w:t xml:space="preserve">(see sections 276-75 to 276-820) </w:t>
      </w:r>
      <w:r w:rsidR="00A254B9">
        <w:t xml:space="preserve">to </w:t>
      </w:r>
      <w:r w:rsidR="000D2B8A">
        <w:t>an ASF of a CCIV</w:t>
      </w:r>
      <w:r w:rsidRPr="004B624C">
        <w:t xml:space="preserve"> </w:t>
      </w:r>
      <w:r w:rsidR="000D2B8A" w:rsidRPr="00BF3D02">
        <w:t xml:space="preserve">with modifications </w:t>
      </w:r>
      <w:r w:rsidR="000D2B8A">
        <w:t>to reflect the sub</w:t>
      </w:r>
      <w:r w:rsidR="000D2B8A">
        <w:noBreakHyphen/>
        <w:t>fund and corporate structure of a CCIV</w:t>
      </w:r>
      <w:r w:rsidRPr="00BF3D02">
        <w:t>.</w:t>
      </w:r>
      <w:r w:rsidRPr="00C17C31">
        <w:rPr>
          <w:rStyle w:val="Referencingstyle"/>
        </w:rPr>
        <w:t xml:space="preserve"> </w:t>
      </w:r>
      <w:r w:rsidR="00CD388E">
        <w:rPr>
          <w:rStyle w:val="Referencingstyle"/>
        </w:rPr>
        <w:t>[Schedule 2</w:t>
      </w:r>
      <w:r w:rsidRPr="00903C31">
        <w:rPr>
          <w:rStyle w:val="Referencingstyle"/>
        </w:rPr>
        <w:t>, item</w:t>
      </w:r>
      <w:r w:rsidR="003534D9">
        <w:rPr>
          <w:rStyle w:val="Referencingstyle"/>
        </w:rPr>
        <w:t>s 11 to 246</w:t>
      </w:r>
      <w:r>
        <w:rPr>
          <w:rStyle w:val="Referencingstyle"/>
        </w:rPr>
        <w:t>, sections 276-75 to</w:t>
      </w:r>
      <w:r w:rsidR="009737E1">
        <w:rPr>
          <w:rStyle w:val="Referencingstyle"/>
        </w:rPr>
        <w:t> </w:t>
      </w:r>
      <w:r>
        <w:rPr>
          <w:rStyle w:val="Referencingstyle"/>
        </w:rPr>
        <w:t>276</w:t>
      </w:r>
      <w:r>
        <w:rPr>
          <w:rStyle w:val="Referencingstyle"/>
        </w:rPr>
        <w:noBreakHyphen/>
        <w:t>820]</w:t>
      </w:r>
    </w:p>
    <w:p w14:paraId="44A48B8E" w14:textId="6646E281" w:rsidR="0016134B" w:rsidRDefault="0016134B" w:rsidP="001F3114">
      <w:pPr>
        <w:pStyle w:val="base-text-paragraph"/>
      </w:pPr>
      <w:r w:rsidRPr="00C17C31">
        <w:t>This is achieved by broadening the existing prov</w:t>
      </w:r>
      <w:r>
        <w:t>isions that apply to AMITs to all AIVs (as appropriate). For example</w:t>
      </w:r>
      <w:r w:rsidR="000D2B8A">
        <w:t xml:space="preserve">, changes are made so that </w:t>
      </w:r>
      <w:r w:rsidRPr="00C17C31">
        <w:t xml:space="preserve">the terminology </w:t>
      </w:r>
      <w:r w:rsidR="000D2B8A">
        <w:t xml:space="preserve">in the attribution model refers </w:t>
      </w:r>
      <w:r w:rsidRPr="00C17C31">
        <w:t>to</w:t>
      </w:r>
      <w:r>
        <w:t>:</w:t>
      </w:r>
    </w:p>
    <w:p w14:paraId="778A9D6D" w14:textId="24243529" w:rsidR="0016134B" w:rsidRDefault="000D2B8A" w:rsidP="0016134B">
      <w:pPr>
        <w:pStyle w:val="dotpoint"/>
      </w:pPr>
      <w:r>
        <w:t xml:space="preserve">an </w:t>
      </w:r>
      <w:r w:rsidR="0016134B" w:rsidRPr="00C17C31">
        <w:t xml:space="preserve">‘AIV’ rather than </w:t>
      </w:r>
      <w:r>
        <w:t xml:space="preserve">an </w:t>
      </w:r>
      <w:r w:rsidR="0016134B" w:rsidRPr="00C17C31">
        <w:t>‘AMIT’</w:t>
      </w:r>
      <w:r w:rsidR="0016134B">
        <w:t>;</w:t>
      </w:r>
    </w:p>
    <w:p w14:paraId="1BC64C72" w14:textId="18AB76C2" w:rsidR="0016134B" w:rsidRDefault="000D2B8A" w:rsidP="0016134B">
      <w:pPr>
        <w:pStyle w:val="dotpoint"/>
      </w:pPr>
      <w:r>
        <w:t xml:space="preserve">an </w:t>
      </w:r>
      <w:r w:rsidR="0016134B" w:rsidRPr="00C17C31">
        <w:t>‘operator’ rather than</w:t>
      </w:r>
      <w:r>
        <w:t xml:space="preserve"> a</w:t>
      </w:r>
      <w:r w:rsidR="0016134B" w:rsidRPr="00C17C31">
        <w:t xml:space="preserve"> ‘trustee’</w:t>
      </w:r>
      <w:r w:rsidR="0016134B">
        <w:t>;</w:t>
      </w:r>
    </w:p>
    <w:p w14:paraId="216F6FD5" w14:textId="60197110" w:rsidR="0016134B" w:rsidRDefault="000D2B8A" w:rsidP="0016134B">
      <w:pPr>
        <w:pStyle w:val="dotpoint"/>
      </w:pPr>
      <w:r>
        <w:t xml:space="preserve">the </w:t>
      </w:r>
      <w:r w:rsidR="0016134B" w:rsidRPr="00C17C31">
        <w:t xml:space="preserve">‘determined AIV component’ rather than </w:t>
      </w:r>
      <w:r>
        <w:t xml:space="preserve">the </w:t>
      </w:r>
      <w:r w:rsidR="0016134B" w:rsidRPr="00C17C31">
        <w:t>‘determined trust component’</w:t>
      </w:r>
      <w:r w:rsidR="0016134B">
        <w:t>;</w:t>
      </w:r>
      <w:r w:rsidR="0016134B" w:rsidRPr="00C17C31">
        <w:t xml:space="preserve"> and </w:t>
      </w:r>
    </w:p>
    <w:p w14:paraId="4B21FD9E" w14:textId="34CB233C" w:rsidR="0016134B" w:rsidRPr="00C17C31" w:rsidRDefault="000D2B8A" w:rsidP="0016134B">
      <w:pPr>
        <w:pStyle w:val="dotpoint"/>
      </w:pPr>
      <w:proofErr w:type="gramStart"/>
      <w:r>
        <w:t>an</w:t>
      </w:r>
      <w:proofErr w:type="gramEnd"/>
      <w:r>
        <w:t xml:space="preserve"> </w:t>
      </w:r>
      <w:r w:rsidR="0016134B" w:rsidRPr="00C17C31">
        <w:t xml:space="preserve">‘AIVMA statement’ rather than </w:t>
      </w:r>
      <w:r>
        <w:t xml:space="preserve">an </w:t>
      </w:r>
      <w:r w:rsidR="009737E1">
        <w:t>‘</w:t>
      </w:r>
      <w:r w:rsidR="0016134B" w:rsidRPr="00C17C31">
        <w:t>AMMA statement</w:t>
      </w:r>
      <w:r w:rsidR="009737E1">
        <w:t>’</w:t>
      </w:r>
      <w:r w:rsidR="0016134B" w:rsidRPr="00C17C31">
        <w:t xml:space="preserve">. </w:t>
      </w:r>
    </w:p>
    <w:p w14:paraId="720B7BEC" w14:textId="0807548A" w:rsidR="0016134B" w:rsidRPr="00BF3D02" w:rsidRDefault="0016134B" w:rsidP="001F3114">
      <w:pPr>
        <w:pStyle w:val="base-text-paragraph"/>
      </w:pPr>
      <w:r w:rsidRPr="00BF3D02">
        <w:t xml:space="preserve">Under the </w:t>
      </w:r>
      <w:r>
        <w:t>A</w:t>
      </w:r>
      <w:r w:rsidR="00A254B9">
        <w:t>SF</w:t>
      </w:r>
      <w:r w:rsidRPr="00BF3D02">
        <w:t xml:space="preserve"> attribution model, the </w:t>
      </w:r>
      <w:r>
        <w:t>operator (</w:t>
      </w:r>
      <w:r w:rsidR="000D2B8A">
        <w:t>being the CCIV</w:t>
      </w:r>
      <w:r>
        <w:t>)</w:t>
      </w:r>
      <w:r w:rsidRPr="00BF3D02">
        <w:t xml:space="preserve"> </w:t>
      </w:r>
      <w:r w:rsidR="000D2B8A">
        <w:t xml:space="preserve">of an ASF </w:t>
      </w:r>
      <w:r w:rsidRPr="00BF3D02">
        <w:t>must:</w:t>
      </w:r>
    </w:p>
    <w:p w14:paraId="3D9E11A8" w14:textId="539DB727" w:rsidR="0016134B" w:rsidRPr="00BF3D02" w:rsidRDefault="0016134B" w:rsidP="0016134B">
      <w:pPr>
        <w:pStyle w:val="dotpoint"/>
      </w:pPr>
      <w:r w:rsidRPr="00BF3D02">
        <w:t xml:space="preserve">determine the overall amounts of particular characters of income for the </w:t>
      </w:r>
      <w:r>
        <w:t>A</w:t>
      </w:r>
      <w:r w:rsidR="00A254B9">
        <w:t>SF</w:t>
      </w:r>
      <w:r w:rsidRPr="00BF3D02">
        <w:t xml:space="preserve"> for an income year</w:t>
      </w:r>
      <w:r w:rsidR="00AF1CF5">
        <w:t xml:space="preserve"> —</w:t>
      </w:r>
      <w:r w:rsidRPr="00BF3D02">
        <w:t xml:space="preserve"> that is: </w:t>
      </w:r>
    </w:p>
    <w:p w14:paraId="74183CB5" w14:textId="446E4908" w:rsidR="0016134B" w:rsidRPr="00BF3D02" w:rsidRDefault="0016134B" w:rsidP="0016134B">
      <w:pPr>
        <w:pStyle w:val="dotpoint"/>
        <w:numPr>
          <w:ilvl w:val="1"/>
          <w:numId w:val="11"/>
        </w:numPr>
      </w:pPr>
      <w:r>
        <w:t xml:space="preserve">calculate the total </w:t>
      </w:r>
      <w:r w:rsidRPr="00BF3D02">
        <w:t>amounts associated with the</w:t>
      </w:r>
      <w:r>
        <w:t xml:space="preserve"> various activities of the A</w:t>
      </w:r>
      <w:r w:rsidR="00A254B9">
        <w:t>SF</w:t>
      </w:r>
      <w:r w:rsidRPr="00BF3D02">
        <w:t xml:space="preserve"> that </w:t>
      </w:r>
      <w:r w:rsidR="00AD13C6">
        <w:t>have a character relatin</w:t>
      </w:r>
      <w:r w:rsidR="000D2B8A">
        <w:t>g</w:t>
      </w:r>
      <w:r w:rsidR="00AD13C6">
        <w:t xml:space="preserve"> to </w:t>
      </w:r>
      <w:r w:rsidRPr="00BF3D02">
        <w:t>assessable income, exempt income, non</w:t>
      </w:r>
      <w:r w:rsidRPr="00BF3D02">
        <w:noBreakHyphen/>
        <w:t>assessable non</w:t>
      </w:r>
      <w:r w:rsidRPr="00BF3D02">
        <w:noBreakHyphen/>
        <w:t>exempt incom</w:t>
      </w:r>
      <w:r>
        <w:t xml:space="preserve">e and </w:t>
      </w:r>
      <w:r w:rsidR="00AD13C6">
        <w:t>tax offsets</w:t>
      </w:r>
      <w:r w:rsidR="00AF1CF5">
        <w:t xml:space="preserve"> </w:t>
      </w:r>
      <w:r>
        <w:t>— that is</w:t>
      </w:r>
      <w:r w:rsidR="00AF1CF5">
        <w:t>,</w:t>
      </w:r>
      <w:r>
        <w:t xml:space="preserve"> the </w:t>
      </w:r>
      <w:r>
        <w:rPr>
          <w:i/>
        </w:rPr>
        <w:t>AIV </w:t>
      </w:r>
      <w:r w:rsidRPr="00BF3D02">
        <w:rPr>
          <w:i/>
        </w:rPr>
        <w:t>component</w:t>
      </w:r>
      <w:r w:rsidRPr="00BF3D02">
        <w:t xml:space="preserve"> of each particular character; and</w:t>
      </w:r>
    </w:p>
    <w:p w14:paraId="60DDF46C" w14:textId="64F35A72" w:rsidR="0016134B" w:rsidRPr="00BF3D02" w:rsidRDefault="0016134B" w:rsidP="0016134B">
      <w:pPr>
        <w:pStyle w:val="dotpoint"/>
        <w:numPr>
          <w:ilvl w:val="1"/>
          <w:numId w:val="11"/>
        </w:numPr>
      </w:pPr>
      <w:r w:rsidRPr="00BF3D02">
        <w:lastRenderedPageBreak/>
        <w:t>determine the amount of the components of particular c</w:t>
      </w:r>
      <w:r>
        <w:t>haracters and create a document</w:t>
      </w:r>
      <w:r w:rsidRPr="00BF3D02">
        <w:t xml:space="preserve"> recording those amounts</w:t>
      </w:r>
      <w:r>
        <w:t xml:space="preserve"> — that is</w:t>
      </w:r>
      <w:r w:rsidR="00AF1CF5">
        <w:t>,</w:t>
      </w:r>
      <w:r>
        <w:t xml:space="preserve"> </w:t>
      </w:r>
      <w:r w:rsidRPr="00BF3D02">
        <w:t xml:space="preserve">the </w:t>
      </w:r>
      <w:r>
        <w:rPr>
          <w:i/>
        </w:rPr>
        <w:t>determined AIV</w:t>
      </w:r>
      <w:r w:rsidRPr="00BF3D02">
        <w:rPr>
          <w:i/>
        </w:rPr>
        <w:t xml:space="preserve"> component</w:t>
      </w:r>
      <w:r w:rsidRPr="00BF3D02">
        <w:t>; and</w:t>
      </w:r>
    </w:p>
    <w:p w14:paraId="3DF6B910" w14:textId="69F28E9C" w:rsidR="0016134B" w:rsidRPr="00BF3D02" w:rsidRDefault="0016134B" w:rsidP="0016134B">
      <w:pPr>
        <w:pStyle w:val="dotpoint"/>
      </w:pPr>
      <w:r w:rsidRPr="00BF3D02">
        <w:t>attribute amounts with particular characters for that income year to members on a fair and reasonable basis in accordance with the constituent documents</w:t>
      </w:r>
      <w:r>
        <w:t xml:space="preserve"> of the A</w:t>
      </w:r>
      <w:r w:rsidR="00A254B9">
        <w:t>SF</w:t>
      </w:r>
      <w:r>
        <w:t xml:space="preserve"> —</w:t>
      </w:r>
      <w:r w:rsidRPr="00BF3D02">
        <w:t xml:space="preserve"> that is:</w:t>
      </w:r>
    </w:p>
    <w:p w14:paraId="3D266EE2" w14:textId="6E5015E0" w:rsidR="0016134B" w:rsidRPr="00BF3D02" w:rsidRDefault="0016134B" w:rsidP="0016134B">
      <w:pPr>
        <w:pStyle w:val="dotpoint"/>
        <w:numPr>
          <w:ilvl w:val="1"/>
          <w:numId w:val="11"/>
        </w:numPr>
      </w:pPr>
      <w:r>
        <w:t>attribute the amount of an AIV</w:t>
      </w:r>
      <w:r w:rsidRPr="00BF3D02">
        <w:t xml:space="preserve"> component of a particular character to a member </w:t>
      </w:r>
      <w:r>
        <w:t>based on the member’s clearly defined interest</w:t>
      </w:r>
      <w:r w:rsidR="00BB0C16">
        <w:t>s</w:t>
      </w:r>
      <w:r>
        <w:t xml:space="preserve"> in the A</w:t>
      </w:r>
      <w:r w:rsidR="00A254B9">
        <w:t>SF</w:t>
      </w:r>
      <w:r>
        <w:t xml:space="preserve"> — that is</w:t>
      </w:r>
      <w:r w:rsidR="00AF1CF5">
        <w:t>,</w:t>
      </w:r>
      <w:r w:rsidRPr="00BF3D02">
        <w:t xml:space="preserve"> the </w:t>
      </w:r>
      <w:r w:rsidRPr="00BF3D02">
        <w:rPr>
          <w:i/>
        </w:rPr>
        <w:t>member component</w:t>
      </w:r>
      <w:r>
        <w:t xml:space="preserve">; </w:t>
      </w:r>
    </w:p>
    <w:p w14:paraId="0678A64D" w14:textId="5AF0670A" w:rsidR="0016134B" w:rsidRDefault="0016134B" w:rsidP="0016134B">
      <w:pPr>
        <w:pStyle w:val="dotpoint"/>
        <w:numPr>
          <w:ilvl w:val="1"/>
          <w:numId w:val="11"/>
        </w:numPr>
      </w:pPr>
      <w:r w:rsidRPr="00BF3D02">
        <w:t>determine the amount of the member component of particular characters tha</w:t>
      </w:r>
      <w:r>
        <w:t>t is attributed to each member — that is</w:t>
      </w:r>
      <w:r w:rsidR="00AF1CF5">
        <w:t>,</w:t>
      </w:r>
      <w:r>
        <w:t xml:space="preserve"> </w:t>
      </w:r>
      <w:r w:rsidRPr="00BF3D02">
        <w:t xml:space="preserve">the </w:t>
      </w:r>
      <w:r>
        <w:rPr>
          <w:i/>
        </w:rPr>
        <w:t>determined member component</w:t>
      </w:r>
      <w:r w:rsidRPr="00273915">
        <w:t>;</w:t>
      </w:r>
      <w:r w:rsidRPr="00BF3D02">
        <w:t xml:space="preserve"> and </w:t>
      </w:r>
    </w:p>
    <w:p w14:paraId="5D90956A" w14:textId="7E49400F" w:rsidR="0016134B" w:rsidRPr="00BF3D02" w:rsidRDefault="0016134B" w:rsidP="0016134B">
      <w:pPr>
        <w:pStyle w:val="dotpoint"/>
        <w:numPr>
          <w:ilvl w:val="1"/>
          <w:numId w:val="11"/>
        </w:numPr>
      </w:pPr>
      <w:proofErr w:type="gramStart"/>
      <w:r w:rsidRPr="00BF3D02">
        <w:t>issue</w:t>
      </w:r>
      <w:proofErr w:type="gramEnd"/>
      <w:r w:rsidRPr="00BF3D02">
        <w:t xml:space="preserve"> an </w:t>
      </w:r>
      <w:r>
        <w:t>AIV</w:t>
      </w:r>
      <w:r w:rsidRPr="00BF3D02">
        <w:t>MA statement to the member that records those amounts.</w:t>
      </w:r>
    </w:p>
    <w:p w14:paraId="0EC0DB41" w14:textId="700301B1" w:rsidR="0016134B" w:rsidRPr="00BF3D02" w:rsidRDefault="00E60A59" w:rsidP="0016134B">
      <w:pPr>
        <w:pStyle w:val="base-text-paragraphnonumbers"/>
      </w:pPr>
      <w:r>
        <w:rPr>
          <w:rStyle w:val="Referencingstyle"/>
        </w:rPr>
        <w:t>[Schedule 2</w:t>
      </w:r>
      <w:r w:rsidR="0016134B" w:rsidRPr="00903C31">
        <w:rPr>
          <w:rStyle w:val="Referencingstyle"/>
        </w:rPr>
        <w:t>, item</w:t>
      </w:r>
      <w:r w:rsidR="002614D0">
        <w:rPr>
          <w:rStyle w:val="Referencingstyle"/>
        </w:rPr>
        <w:t>s 58 to 105</w:t>
      </w:r>
      <w:r w:rsidR="0016134B">
        <w:rPr>
          <w:rStyle w:val="Referencingstyle"/>
        </w:rPr>
        <w:t>, sections 276-200 to 276-270]</w:t>
      </w:r>
    </w:p>
    <w:p w14:paraId="59740F3C" w14:textId="64239BA1" w:rsidR="00D66820" w:rsidRDefault="00D66820" w:rsidP="001F3114">
      <w:pPr>
        <w:pStyle w:val="base-text-paragraph"/>
      </w:pPr>
      <w:r>
        <w:t>E</w:t>
      </w:r>
      <w:r>
        <w:rPr>
          <w:rStyle w:val="Referencingstyle"/>
          <w:b w:val="0"/>
          <w:i w:val="0"/>
          <w:sz w:val="22"/>
        </w:rPr>
        <w:t xml:space="preserve">xisting AMITs are taken to comply with obligations relating to AIVMA statements under the </w:t>
      </w:r>
      <w:r w:rsidR="00C60EAD" w:rsidRPr="00C60EAD">
        <w:rPr>
          <w:rStyle w:val="Referencingstyle"/>
          <w:b w:val="0"/>
          <w:i w:val="0"/>
          <w:sz w:val="22"/>
        </w:rPr>
        <w:t>ITAA</w:t>
      </w:r>
      <w:r w:rsidRPr="00C60EAD">
        <w:rPr>
          <w:rStyle w:val="Referencingstyle"/>
          <w:b w:val="0"/>
          <w:i w:val="0"/>
          <w:sz w:val="22"/>
        </w:rPr>
        <w:t xml:space="preserve"> 1997</w:t>
      </w:r>
      <w:r>
        <w:rPr>
          <w:rStyle w:val="Referencingstyle"/>
          <w:b w:val="0"/>
          <w:i w:val="0"/>
          <w:sz w:val="22"/>
        </w:rPr>
        <w:t xml:space="preserve"> where it has been in compliance with its obligations relating to AMMA statements under the </w:t>
      </w:r>
      <w:r w:rsidR="003C0232">
        <w:rPr>
          <w:rStyle w:val="Referencingstyle"/>
          <w:b w:val="0"/>
          <w:i w:val="0"/>
          <w:sz w:val="22"/>
        </w:rPr>
        <w:t>existing law</w:t>
      </w:r>
      <w:r>
        <w:rPr>
          <w:rStyle w:val="Referencingstyle"/>
          <w:b w:val="0"/>
          <w:i w:val="0"/>
          <w:sz w:val="22"/>
        </w:rPr>
        <w:t xml:space="preserve">. </w:t>
      </w:r>
      <w:r w:rsidRPr="00BF3D02">
        <w:rPr>
          <w:rStyle w:val="Referencingstyle"/>
        </w:rPr>
        <w:t>[</w:t>
      </w:r>
      <w:r>
        <w:rPr>
          <w:rStyle w:val="Referencingstyle"/>
        </w:rPr>
        <w:t>Schedule 10, item 3, subsections 276-10(3) and (4) of the Income Tax (Transitional Provisions) Act 1997]</w:t>
      </w:r>
    </w:p>
    <w:p w14:paraId="17A7F4A1" w14:textId="28627C5C" w:rsidR="0016134B" w:rsidRDefault="0016134B" w:rsidP="001F3114">
      <w:pPr>
        <w:pStyle w:val="base-text-paragraph"/>
      </w:pPr>
      <w:r w:rsidRPr="00BF3D02">
        <w:t xml:space="preserve">The amount that is recognised by the member for income tax purposes in relation to their investment in an </w:t>
      </w:r>
      <w:r>
        <w:t>A</w:t>
      </w:r>
      <w:r w:rsidR="00A254B9">
        <w:t xml:space="preserve">SF of a CCIV </w:t>
      </w:r>
      <w:r w:rsidRPr="00BF3D02">
        <w:t xml:space="preserve">is the determined member component, which is generally the amount shown </w:t>
      </w:r>
      <w:r>
        <w:t>on the AIV</w:t>
      </w:r>
      <w:r w:rsidR="00A254B9">
        <w:t xml:space="preserve">MA statement issued by the </w:t>
      </w:r>
      <w:r>
        <w:t>CCIV</w:t>
      </w:r>
      <w:r w:rsidRPr="00BF3D02">
        <w:t>.</w:t>
      </w:r>
      <w:r w:rsidRPr="005F0B48">
        <w:t xml:space="preserve"> </w:t>
      </w:r>
      <w:r w:rsidR="00FA6A69">
        <w:rPr>
          <w:rStyle w:val="Referencingstyle"/>
        </w:rPr>
        <w:t>[Schedu</w:t>
      </w:r>
      <w:r w:rsidR="002614D0">
        <w:rPr>
          <w:rStyle w:val="Referencingstyle"/>
        </w:rPr>
        <w:t>le 2, item 228</w:t>
      </w:r>
      <w:r>
        <w:rPr>
          <w:rStyle w:val="Referencingstyle"/>
        </w:rPr>
        <w:t>, sections</w:t>
      </w:r>
      <w:r w:rsidR="009737E1">
        <w:rPr>
          <w:rStyle w:val="Referencingstyle"/>
        </w:rPr>
        <w:t> </w:t>
      </w:r>
      <w:r>
        <w:rPr>
          <w:rStyle w:val="Referencingstyle"/>
        </w:rPr>
        <w:t>276</w:t>
      </w:r>
      <w:r w:rsidR="009737E1">
        <w:rPr>
          <w:rStyle w:val="Referencingstyle"/>
        </w:rPr>
        <w:noBreakHyphen/>
      </w:r>
      <w:r>
        <w:rPr>
          <w:rStyle w:val="Referencingstyle"/>
        </w:rPr>
        <w:t>450 to 276</w:t>
      </w:r>
      <w:r>
        <w:rPr>
          <w:rStyle w:val="Referencingstyle"/>
        </w:rPr>
        <w:noBreakHyphen/>
        <w:t>460</w:t>
      </w:r>
      <w:r w:rsidRPr="005F0B48">
        <w:rPr>
          <w:rStyle w:val="Referencingstyle"/>
        </w:rPr>
        <w:t>]</w:t>
      </w:r>
    </w:p>
    <w:p w14:paraId="28BAC5D8" w14:textId="3C2F0256" w:rsidR="000E4816" w:rsidRPr="000D2B8A" w:rsidRDefault="000E4816" w:rsidP="001F3114">
      <w:pPr>
        <w:pStyle w:val="base-text-paragraph"/>
      </w:pPr>
      <w:r w:rsidRPr="000D2B8A">
        <w:t>If a sub</w:t>
      </w:r>
      <w:r w:rsidRPr="000D2B8A">
        <w:noBreakHyphen/>
        <w:t>fund of a CCIV is an ASF, the</w:t>
      </w:r>
      <w:r w:rsidR="008465C0" w:rsidRPr="000D2B8A">
        <w:t>n for the purpose of working out the assessable income, non</w:t>
      </w:r>
      <w:r w:rsidR="008465C0" w:rsidRPr="000D2B8A">
        <w:noBreakHyphen/>
        <w:t>assessable non</w:t>
      </w:r>
      <w:r w:rsidR="008465C0" w:rsidRPr="000D2B8A">
        <w:noBreakHyphen/>
        <w:t>exempt income, capital gains</w:t>
      </w:r>
      <w:r w:rsidR="00381C3F">
        <w:t xml:space="preserve"> and</w:t>
      </w:r>
      <w:r w:rsidR="008465C0" w:rsidRPr="000D2B8A">
        <w:t xml:space="preserve"> net capital losses of a member</w:t>
      </w:r>
      <w:r w:rsidR="007604C9" w:rsidRPr="000D2B8A">
        <w:t xml:space="preserve"> of the ASF</w:t>
      </w:r>
      <w:r w:rsidR="008465C0" w:rsidRPr="000D2B8A">
        <w:t xml:space="preserve">, </w:t>
      </w:r>
      <w:r w:rsidRPr="000D2B8A">
        <w:t xml:space="preserve">amounts derived, received or made by the CCIV that are reflected in the determined member component are taken to have been derived, received or made by the member (rather than by the CCIV). </w:t>
      </w:r>
      <w:r w:rsidR="001E02F8">
        <w:rPr>
          <w:rStyle w:val="Referencingstyle"/>
        </w:rPr>
        <w:t>[Schedule 2, item 14</w:t>
      </w:r>
      <w:r w:rsidRPr="000D2B8A">
        <w:rPr>
          <w:rStyle w:val="Referencingstyle"/>
        </w:rPr>
        <w:t>, subsection 276</w:t>
      </w:r>
      <w:r w:rsidRPr="000D2B8A">
        <w:rPr>
          <w:rStyle w:val="Referencingstyle"/>
        </w:rPr>
        <w:noBreakHyphen/>
        <w:t>80(2)]</w:t>
      </w:r>
    </w:p>
    <w:p w14:paraId="747B1A14" w14:textId="2055086D" w:rsidR="008465C0" w:rsidRPr="000D2B8A" w:rsidRDefault="008465C0" w:rsidP="001F3114">
      <w:pPr>
        <w:pStyle w:val="base-text-paragraph"/>
      </w:pPr>
      <w:r w:rsidRPr="000D2B8A">
        <w:t xml:space="preserve">In addition, </w:t>
      </w:r>
      <w:r w:rsidR="007604C9" w:rsidRPr="000D2B8A">
        <w:t xml:space="preserve">for the purpose of working out the </w:t>
      </w:r>
      <w:r w:rsidRPr="000D2B8A">
        <w:t>member’s entitlement to a tax offset or credit for withholding tax</w:t>
      </w:r>
      <w:r w:rsidR="007604C9" w:rsidRPr="000D2B8A">
        <w:t xml:space="preserve">, amounts paid or received by the CCIV are taken to have been paid or received by the member (rather than by the CCIV). </w:t>
      </w:r>
      <w:r w:rsidR="001E02F8">
        <w:rPr>
          <w:rStyle w:val="Referencingstyle"/>
        </w:rPr>
        <w:t>[Schedule 2, item 18</w:t>
      </w:r>
      <w:r w:rsidR="007604C9" w:rsidRPr="000D2B8A">
        <w:rPr>
          <w:rStyle w:val="Referencingstyle"/>
        </w:rPr>
        <w:t>, subsection 276</w:t>
      </w:r>
      <w:r w:rsidR="007604C9" w:rsidRPr="000D2B8A">
        <w:rPr>
          <w:rStyle w:val="Referencingstyle"/>
        </w:rPr>
        <w:noBreakHyphen/>
        <w:t>80(5)]</w:t>
      </w:r>
    </w:p>
    <w:p w14:paraId="216077D1" w14:textId="61F4D2BA" w:rsidR="0016134B" w:rsidRPr="00BF3D02" w:rsidRDefault="0016134B" w:rsidP="001F3114">
      <w:pPr>
        <w:pStyle w:val="base-text-paragraph"/>
      </w:pPr>
      <w:r w:rsidRPr="00BF3D02">
        <w:t>The attribution model provide</w:t>
      </w:r>
      <w:r>
        <w:t xml:space="preserve">s </w:t>
      </w:r>
      <w:r w:rsidR="00A254B9">
        <w:t xml:space="preserve">flexibility for a </w:t>
      </w:r>
      <w:r>
        <w:t xml:space="preserve">CCIV </w:t>
      </w:r>
      <w:r w:rsidR="00A254B9">
        <w:t xml:space="preserve">in relation to its ASFs, </w:t>
      </w:r>
      <w:r w:rsidRPr="00BF3D02">
        <w:t xml:space="preserve">to reconcile any variance between the amounts actually attributed to members for an income year and the amounts that should have been attributed </w:t>
      </w:r>
      <w:r>
        <w:t xml:space="preserve">to members </w:t>
      </w:r>
      <w:r w:rsidRPr="00BF3D02">
        <w:t>(for example</w:t>
      </w:r>
      <w:r w:rsidR="005656E9">
        <w:t>,</w:t>
      </w:r>
      <w:r w:rsidRPr="00BF3D02">
        <w:t xml:space="preserve"> as a result of </w:t>
      </w:r>
      <w:r>
        <w:t>incomplete information being available at the time of issuing the AIVMA statement</w:t>
      </w:r>
      <w:r w:rsidRPr="00BF3D02">
        <w:t xml:space="preserve">) </w:t>
      </w:r>
      <w:r w:rsidRPr="00BF3D02">
        <w:lastRenderedPageBreak/>
        <w:t xml:space="preserve">in the year the variance is discovered utilising </w:t>
      </w:r>
      <w:r w:rsidR="009737E1">
        <w:t>the</w:t>
      </w:r>
      <w:r w:rsidRPr="00BF3D02">
        <w:t xml:space="preserve"> ‘</w:t>
      </w:r>
      <w:proofErr w:type="spellStart"/>
      <w:r w:rsidRPr="00BF3D02">
        <w:t>unders</w:t>
      </w:r>
      <w:proofErr w:type="spellEnd"/>
      <w:r>
        <w:t>’</w:t>
      </w:r>
      <w:r w:rsidRPr="00BF3D02">
        <w:t xml:space="preserve"> and </w:t>
      </w:r>
      <w:r>
        <w:t>‘</w:t>
      </w:r>
      <w:r w:rsidRPr="00BF3D02">
        <w:t>overs’ regime.</w:t>
      </w:r>
      <w:r>
        <w:t xml:space="preserve"> </w:t>
      </w:r>
      <w:r w:rsidR="00E60A59">
        <w:rPr>
          <w:rStyle w:val="Referencingstyle"/>
        </w:rPr>
        <w:t>[Schedule 2</w:t>
      </w:r>
      <w:r w:rsidR="001C4BDB">
        <w:rPr>
          <w:rStyle w:val="Referencingstyle"/>
        </w:rPr>
        <w:t>, items 106 to 186</w:t>
      </w:r>
      <w:r>
        <w:rPr>
          <w:rStyle w:val="Referencingstyle"/>
        </w:rPr>
        <w:t>, sections 276-300 to</w:t>
      </w:r>
      <w:r w:rsidR="001F3114">
        <w:rPr>
          <w:rStyle w:val="Referencingstyle"/>
        </w:rPr>
        <w:t> </w:t>
      </w:r>
      <w:r>
        <w:rPr>
          <w:rStyle w:val="Referencingstyle"/>
        </w:rPr>
        <w:t>276-350</w:t>
      </w:r>
      <w:r w:rsidRPr="005F0B48">
        <w:rPr>
          <w:rStyle w:val="Referencingstyle"/>
        </w:rPr>
        <w:t>]</w:t>
      </w:r>
    </w:p>
    <w:p w14:paraId="0CE150AA" w14:textId="4292C112" w:rsidR="0016134B" w:rsidRDefault="0016134B" w:rsidP="001F3114">
      <w:pPr>
        <w:pStyle w:val="base-text-paragraph"/>
      </w:pPr>
      <w:r w:rsidRPr="00BF3D02">
        <w:t>I</w:t>
      </w:r>
      <w:r w:rsidR="00A254B9">
        <w:t xml:space="preserve">n certain circumstances, the </w:t>
      </w:r>
      <w:r>
        <w:t>CCIV</w:t>
      </w:r>
      <w:r w:rsidRPr="00BF3D02">
        <w:t xml:space="preserve"> </w:t>
      </w:r>
      <w:r>
        <w:t xml:space="preserve">will be </w:t>
      </w:r>
      <w:r w:rsidRPr="00BF3D02">
        <w:t xml:space="preserve">liable to </w:t>
      </w:r>
      <w:r w:rsidRPr="000D2B8A">
        <w:t xml:space="preserve">pay </w:t>
      </w:r>
      <w:r w:rsidR="00CF2643" w:rsidRPr="000D2B8A">
        <w:t xml:space="preserve">shortfall or excess </w:t>
      </w:r>
      <w:r w:rsidRPr="000D2B8A">
        <w:t>tax</w:t>
      </w:r>
      <w:r w:rsidR="00CF2643" w:rsidRPr="000D2B8A">
        <w:t xml:space="preserve"> on certain amounts reflecting under</w:t>
      </w:r>
      <w:r w:rsidR="00CF2643" w:rsidRPr="000D2B8A">
        <w:noBreakHyphen/>
        <w:t>attribution of income or over</w:t>
      </w:r>
      <w:r w:rsidR="00CF2643" w:rsidRPr="000D2B8A">
        <w:noBreakHyphen/>
        <w:t xml:space="preserve">attribution of tax offsets </w:t>
      </w:r>
      <w:r w:rsidRPr="000D2B8A">
        <w:t>t</w:t>
      </w:r>
      <w:r>
        <w:t>o</w:t>
      </w:r>
      <w:r w:rsidRPr="00BF3D02">
        <w:t xml:space="preserve"> member</w:t>
      </w:r>
      <w:r>
        <w:t>s</w:t>
      </w:r>
      <w:r w:rsidRPr="00BF3D02">
        <w:t xml:space="preserve"> of </w:t>
      </w:r>
      <w:r w:rsidR="00CF2643">
        <w:t>an</w:t>
      </w:r>
      <w:r w:rsidRPr="00BF3D02">
        <w:t xml:space="preserve"> </w:t>
      </w:r>
      <w:r w:rsidR="00A254B9">
        <w:t>ASF</w:t>
      </w:r>
      <w:r>
        <w:t xml:space="preserve"> </w:t>
      </w:r>
      <w:r w:rsidRPr="00BF3D02">
        <w:t xml:space="preserve">in an income year. </w:t>
      </w:r>
      <w:r>
        <w:rPr>
          <w:rStyle w:val="Referencingstyle"/>
        </w:rPr>
        <w:t>[Schedule</w:t>
      </w:r>
      <w:r w:rsidR="001C4BDB">
        <w:rPr>
          <w:rStyle w:val="Referencingstyle"/>
        </w:rPr>
        <w:t xml:space="preserve"> 2, items 187 to 227</w:t>
      </w:r>
      <w:r>
        <w:rPr>
          <w:rStyle w:val="Referencingstyle"/>
        </w:rPr>
        <w:t>, sections 276-400 to 276-425</w:t>
      </w:r>
      <w:r w:rsidRPr="005F0B48">
        <w:rPr>
          <w:rStyle w:val="Referencingstyle"/>
        </w:rPr>
        <w:t>]</w:t>
      </w:r>
      <w:r w:rsidR="00CF2643">
        <w:rPr>
          <w:rStyle w:val="Referencingstyle"/>
        </w:rPr>
        <w:t xml:space="preserve"> </w:t>
      </w:r>
    </w:p>
    <w:p w14:paraId="267F8081" w14:textId="77777777" w:rsidR="00E903C4" w:rsidRDefault="0016134B" w:rsidP="000D2B8A">
      <w:pPr>
        <w:pStyle w:val="Heading4"/>
      </w:pPr>
      <w:r>
        <w:t>Depositary treated as the same entity</w:t>
      </w:r>
      <w:r w:rsidR="00EA0618">
        <w:t xml:space="preserve"> </w:t>
      </w:r>
    </w:p>
    <w:p w14:paraId="12BFCB4A" w14:textId="31D218D1" w:rsidR="00EB74CC" w:rsidRDefault="00EB74CC" w:rsidP="002230D0">
      <w:pPr>
        <w:pStyle w:val="base-text-paragraph"/>
      </w:pPr>
      <w:r w:rsidRPr="00EB74CC">
        <w:t>Where a CCIV has a depositary, ordinarily a trust relationship for income tax purposes would arise because the depositary holds the assets on trust for the CCIV. To ensure the attribution model provides for ‘character flow through’ of income, the amendments pro</w:t>
      </w:r>
      <w:r>
        <w:t>vide that Division </w:t>
      </w:r>
      <w:r w:rsidRPr="00EB74CC">
        <w:t xml:space="preserve">6 </w:t>
      </w:r>
      <w:r w:rsidR="00631F00">
        <w:t>of Part II</w:t>
      </w:r>
      <w:r w:rsidR="005656E9">
        <w:t>I</w:t>
      </w:r>
      <w:r w:rsidR="00631F00">
        <w:t xml:space="preserve"> </w:t>
      </w:r>
      <w:r w:rsidRPr="00EB74CC">
        <w:t xml:space="preserve">of the ITAA 1936 (about trust income) does not apply in relation to any trust estate that arises because of the relationship between a CCIV and its depositary. </w:t>
      </w:r>
      <w:r w:rsidR="008D518E">
        <w:rPr>
          <w:rStyle w:val="Referencingstyle"/>
        </w:rPr>
        <w:t>[Schedule 9, item 6</w:t>
      </w:r>
      <w:r w:rsidRPr="00EB74CC">
        <w:rPr>
          <w:rStyle w:val="Referencingstyle"/>
        </w:rPr>
        <w:t>, section 95AAE of the ITAA 1936]</w:t>
      </w:r>
    </w:p>
    <w:p w14:paraId="4BD9E2DC" w14:textId="0D9BD7E8" w:rsidR="0016134B" w:rsidRPr="001F3114" w:rsidRDefault="0016134B" w:rsidP="002230D0">
      <w:pPr>
        <w:pStyle w:val="base-text-paragraph"/>
        <w:rPr>
          <w:rStyle w:val="Referencingstyle"/>
          <w:b w:val="0"/>
          <w:i w:val="0"/>
          <w:sz w:val="22"/>
        </w:rPr>
      </w:pPr>
      <w:r>
        <w:t>W</w:t>
      </w:r>
      <w:r w:rsidR="004A3971">
        <w:t xml:space="preserve">here a CCIV has a depositary, the </w:t>
      </w:r>
      <w:r w:rsidRPr="00BF3D02">
        <w:t xml:space="preserve">CCIV and the depositary (in that capacity) are taken to be the same entity for the purposes of applying the </w:t>
      </w:r>
      <w:r w:rsidR="003331B4">
        <w:t>AIV</w:t>
      </w:r>
      <w:r w:rsidRPr="00BF3D02">
        <w:t xml:space="preserve"> attribution regime</w:t>
      </w:r>
      <w:r>
        <w:t xml:space="preserve"> —</w:t>
      </w:r>
      <w:r w:rsidR="004A3971">
        <w:t xml:space="preserve"> that is, working out the </w:t>
      </w:r>
      <w:r w:rsidRPr="00BF3D02">
        <w:t xml:space="preserve">CCIV’s </w:t>
      </w:r>
      <w:r w:rsidR="004A3971">
        <w:t xml:space="preserve">ASF </w:t>
      </w:r>
      <w:r>
        <w:t>tax position</w:t>
      </w:r>
      <w:r w:rsidR="004A3971">
        <w:t>s</w:t>
      </w:r>
      <w:r>
        <w:t xml:space="preserve"> and AIV</w:t>
      </w:r>
      <w:r w:rsidRPr="00BF3D02">
        <w:t xml:space="preserve"> component</w:t>
      </w:r>
      <w:r>
        <w:t>s</w:t>
      </w:r>
      <w:r w:rsidRPr="00BF3D02">
        <w:t xml:space="preserve">. </w:t>
      </w:r>
      <w:r w:rsidR="003331B4">
        <w:t>In this event, the same entity is taken to be an Australian resident.</w:t>
      </w:r>
      <w:r>
        <w:t xml:space="preserve"> </w:t>
      </w:r>
      <w:r w:rsidR="00EA0618">
        <w:rPr>
          <w:rStyle w:val="Referencingstyle"/>
        </w:rPr>
        <w:t>[Schedule </w:t>
      </w:r>
      <w:r w:rsidR="00E3756E">
        <w:rPr>
          <w:rStyle w:val="Referencingstyle"/>
        </w:rPr>
        <w:t>2</w:t>
      </w:r>
      <w:r w:rsidR="00E23F6B">
        <w:rPr>
          <w:rStyle w:val="Referencingstyle"/>
        </w:rPr>
        <w:t>, item 96</w:t>
      </w:r>
      <w:r w:rsidRPr="00BF3D02">
        <w:rPr>
          <w:rStyle w:val="Referencingstyle"/>
        </w:rPr>
        <w:t>, subsection 276</w:t>
      </w:r>
      <w:r w:rsidRPr="00BF3D02">
        <w:rPr>
          <w:rStyle w:val="Referencingstyle"/>
        </w:rPr>
        <w:noBreakHyphen/>
        <w:t>260(5)]</w:t>
      </w:r>
    </w:p>
    <w:p w14:paraId="00E0EF10" w14:textId="2FCF484E" w:rsidR="0016134B" w:rsidRPr="00F04808" w:rsidRDefault="003331B4" w:rsidP="002230D0">
      <w:pPr>
        <w:pStyle w:val="base-text-paragraph"/>
        <w:rPr>
          <w:rStyle w:val="Referencingstyle"/>
          <w:b w:val="0"/>
          <w:i w:val="0"/>
          <w:sz w:val="22"/>
        </w:rPr>
      </w:pPr>
      <w:r>
        <w:t>In addition</w:t>
      </w:r>
      <w:r w:rsidR="0016134B">
        <w:t>, for t</w:t>
      </w:r>
      <w:r w:rsidR="004A3971">
        <w:t xml:space="preserve">he purposes of working out the </w:t>
      </w:r>
      <w:r w:rsidR="0016134B">
        <w:t xml:space="preserve">AIV component of a particular character for the income </w:t>
      </w:r>
      <w:r w:rsidR="004A3971">
        <w:t xml:space="preserve">year, any payments made by the </w:t>
      </w:r>
      <w:r w:rsidR="0016134B">
        <w:t>CCIV to the depositary (in its capac</w:t>
      </w:r>
      <w:r w:rsidR="004A3971">
        <w:t xml:space="preserve">ity as the </w:t>
      </w:r>
      <w:r w:rsidR="0016134B">
        <w:t xml:space="preserve">CCIV’s depositary) </w:t>
      </w:r>
      <w:r>
        <w:t>are</w:t>
      </w:r>
      <w:r w:rsidR="0016134B">
        <w:t xml:space="preserve"> disregarded. </w:t>
      </w:r>
      <w:r w:rsidR="00EB74CC">
        <w:t>As a result,</w:t>
      </w:r>
      <w:r w:rsidR="004A3971">
        <w:t xml:space="preserve"> payments made by the </w:t>
      </w:r>
      <w:r w:rsidR="0016134B">
        <w:t xml:space="preserve">CCIV to the depositary in its </w:t>
      </w:r>
      <w:r w:rsidR="005937DC">
        <w:t xml:space="preserve">personal </w:t>
      </w:r>
      <w:r w:rsidR="0016134B">
        <w:t xml:space="preserve">capacity </w:t>
      </w:r>
      <w:r w:rsidR="004A3971">
        <w:t xml:space="preserve">(such as fees paid by the </w:t>
      </w:r>
      <w:r w:rsidR="0016134B">
        <w:t xml:space="preserve">CCIV for services rendered by the depositary) will be recognised. </w:t>
      </w:r>
      <w:r w:rsidR="00E3756E">
        <w:rPr>
          <w:rStyle w:val="Referencingstyle"/>
        </w:rPr>
        <w:t>[Schedule 2</w:t>
      </w:r>
      <w:r w:rsidR="00EA0618">
        <w:rPr>
          <w:rStyle w:val="Referencingstyle"/>
        </w:rPr>
        <w:t>, item </w:t>
      </w:r>
      <w:r w:rsidR="00E23F6B">
        <w:rPr>
          <w:rStyle w:val="Referencingstyle"/>
        </w:rPr>
        <w:t>96</w:t>
      </w:r>
      <w:r w:rsidR="0016134B">
        <w:rPr>
          <w:rStyle w:val="Referencingstyle"/>
        </w:rPr>
        <w:t>, paragraph</w:t>
      </w:r>
      <w:r w:rsidR="00EB74CC">
        <w:rPr>
          <w:rStyle w:val="Referencingstyle"/>
        </w:rPr>
        <w:t> </w:t>
      </w:r>
      <w:r w:rsidR="0016134B" w:rsidRPr="00794AD9">
        <w:rPr>
          <w:rStyle w:val="Referencingstyle"/>
        </w:rPr>
        <w:t>276</w:t>
      </w:r>
      <w:r w:rsidR="0016134B" w:rsidRPr="00794AD9">
        <w:rPr>
          <w:rStyle w:val="Referencingstyle"/>
        </w:rPr>
        <w:noBreakHyphen/>
        <w:t>260(5)</w:t>
      </w:r>
      <w:r w:rsidR="0016134B">
        <w:rPr>
          <w:rStyle w:val="Referencingstyle"/>
        </w:rPr>
        <w:t>(e)</w:t>
      </w:r>
      <w:r w:rsidR="0016134B" w:rsidRPr="00794AD9">
        <w:rPr>
          <w:rStyle w:val="Referencingstyle"/>
        </w:rPr>
        <w:t>]</w:t>
      </w:r>
    </w:p>
    <w:p w14:paraId="155DFDEF" w14:textId="77777777" w:rsidR="00F04808" w:rsidRPr="00BF3D02" w:rsidRDefault="00F04808" w:rsidP="00F04808">
      <w:pPr>
        <w:pStyle w:val="Heading3"/>
      </w:pPr>
      <w:r>
        <w:t xml:space="preserve">Penalty for AIV — </w:t>
      </w:r>
      <w:r w:rsidRPr="00BF3D02">
        <w:t xml:space="preserve">failure to take reasonable care </w:t>
      </w:r>
    </w:p>
    <w:p w14:paraId="51E36488" w14:textId="1B11A4AF" w:rsidR="00F04808" w:rsidRPr="00BF3D02" w:rsidRDefault="00F04808" w:rsidP="00F04808">
      <w:pPr>
        <w:pStyle w:val="base-text-paragraph"/>
      </w:pPr>
      <w:r w:rsidRPr="00BF3D02">
        <w:t xml:space="preserve">Under the AMIT attribution model, the trustee of an AMIT is liable to an administrative penalty if it has an </w:t>
      </w:r>
      <w:r>
        <w:t>‘</w:t>
      </w:r>
      <w:r w:rsidRPr="00BF3D02">
        <w:t>under</w:t>
      </w:r>
      <w:r w:rsidR="00C60EAD">
        <w:t xml:space="preserve">’ </w:t>
      </w:r>
      <w:r w:rsidRPr="00BF3D02">
        <w:t xml:space="preserve">or an </w:t>
      </w:r>
      <w:r>
        <w:t>‘</w:t>
      </w:r>
      <w:r w:rsidRPr="00BF3D02">
        <w:t>over</w:t>
      </w:r>
      <w:r>
        <w:t>’</w:t>
      </w:r>
      <w:r w:rsidRPr="00BF3D02">
        <w:t xml:space="preserve"> for the base year whic</w:t>
      </w:r>
      <w:r>
        <w:t xml:space="preserve">h resulted from intentional </w:t>
      </w:r>
      <w:r w:rsidRPr="00BF3D02">
        <w:t xml:space="preserve">disregard </w:t>
      </w:r>
      <w:r>
        <w:t xml:space="preserve">or recklessness </w:t>
      </w:r>
      <w:r w:rsidRPr="00BF3D02">
        <w:t>of the law by the trustee. The penalty amount that applies is based on the existing framework for administrative penalties that arise to an individual taxpayer in relation to th</w:t>
      </w:r>
      <w:r w:rsidR="005656E9">
        <w:t>eir own income tax affairs (</w:t>
      </w:r>
      <w:r>
        <w:t>Division 284 in</w:t>
      </w:r>
      <w:r w:rsidRPr="00BF3D02">
        <w:t xml:space="preserve"> Schedule 1 to the</w:t>
      </w:r>
      <w:r>
        <w:t xml:space="preserve"> TAA 1953</w:t>
      </w:r>
      <w:r w:rsidRPr="00BF3D02">
        <w:t xml:space="preserve">). </w:t>
      </w:r>
    </w:p>
    <w:p w14:paraId="1B94A3C7" w14:textId="53A487BA" w:rsidR="00F04808" w:rsidRPr="00BF3D02" w:rsidRDefault="00F04808" w:rsidP="00F04808">
      <w:pPr>
        <w:pStyle w:val="base-text-paragraph"/>
      </w:pPr>
      <w:r w:rsidRPr="00BF3D02">
        <w:t xml:space="preserve">The amendments </w:t>
      </w:r>
      <w:r>
        <w:t>in Schedu</w:t>
      </w:r>
      <w:r w:rsidR="00EC186D">
        <w:t>le 10</w:t>
      </w:r>
      <w:r>
        <w:t xml:space="preserve"> to the Exposure Draft Bill</w:t>
      </w:r>
      <w:r w:rsidRPr="00BF3D02">
        <w:t xml:space="preserve"> broaden the administrative penalty regime to operators of AIVs (or the operator’s agent), and insert an administrative penalty for an AIV </w:t>
      </w:r>
      <w:r>
        <w:t>‘</w:t>
      </w:r>
      <w:r w:rsidRPr="00BF3D02">
        <w:t>over</w:t>
      </w:r>
      <w:r>
        <w:t>’</w:t>
      </w:r>
      <w:r w:rsidRPr="00BF3D02">
        <w:t xml:space="preserve"> or </w:t>
      </w:r>
      <w:r>
        <w:t>‘</w:t>
      </w:r>
      <w:r w:rsidRPr="00BF3D02">
        <w:t>under</w:t>
      </w:r>
      <w:r>
        <w:t>’</w:t>
      </w:r>
      <w:r w:rsidRPr="00BF3D02">
        <w:t xml:space="preserve"> resulting from failure to take reasonable care to comply with a taxation law. This aligns the AIV administrative penalty regime with </w:t>
      </w:r>
      <w:r w:rsidR="00381C3F">
        <w:t xml:space="preserve">other taxpayers who are subject to </w:t>
      </w:r>
      <w:r w:rsidRPr="00BF3D02">
        <w:t>the general administrative penalty scale.</w:t>
      </w:r>
    </w:p>
    <w:p w14:paraId="305BD220" w14:textId="77777777" w:rsidR="00F04808" w:rsidRPr="00BF3D02" w:rsidRDefault="00F04808" w:rsidP="00F04808">
      <w:pPr>
        <w:pStyle w:val="base-text-paragraph"/>
        <w:numPr>
          <w:ilvl w:val="1"/>
          <w:numId w:val="44"/>
        </w:numPr>
      </w:pPr>
      <w:r w:rsidRPr="00BF3D02">
        <w:lastRenderedPageBreak/>
        <w:t xml:space="preserve">In the case of an </w:t>
      </w:r>
      <w:r>
        <w:t>‘</w:t>
      </w:r>
      <w:r w:rsidRPr="00BF3D02">
        <w:t>under</w:t>
      </w:r>
      <w:r>
        <w:t>’</w:t>
      </w:r>
      <w:r w:rsidRPr="00BF3D02">
        <w:t xml:space="preserve"> of a character relating to assessable income, exempt income, non</w:t>
      </w:r>
      <w:r w:rsidRPr="00BF3D02">
        <w:noBreakHyphen/>
        <w:t>assessable non</w:t>
      </w:r>
      <w:r w:rsidRPr="00BF3D02">
        <w:noBreakHyphen/>
        <w:t xml:space="preserve">exempt income, or of an </w:t>
      </w:r>
      <w:r>
        <w:t>‘</w:t>
      </w:r>
      <w:r w:rsidRPr="00BF3D02">
        <w:t>over</w:t>
      </w:r>
      <w:r>
        <w:t>’</w:t>
      </w:r>
      <w:r w:rsidRPr="00BF3D02">
        <w:t xml:space="preserve"> of a character relating to a tax offset, the amount of the administrative penalty is:</w:t>
      </w:r>
    </w:p>
    <w:p w14:paraId="4D98DE61" w14:textId="77777777" w:rsidR="00F04808" w:rsidRPr="00BF3D02" w:rsidRDefault="00F04808" w:rsidP="00F04808">
      <w:pPr>
        <w:pStyle w:val="dotpoint"/>
      </w:pPr>
      <w:r w:rsidRPr="00BF3D02">
        <w:t>w</w:t>
      </w:r>
      <w:r>
        <w:t>here the ‘under’ or</w:t>
      </w:r>
      <w:r w:rsidRPr="00BF3D02">
        <w:t xml:space="preserve"> </w:t>
      </w:r>
      <w:r>
        <w:t>‘</w:t>
      </w:r>
      <w:r w:rsidRPr="00BF3D02">
        <w:t>over</w:t>
      </w:r>
      <w:r>
        <w:t>’</w:t>
      </w:r>
      <w:r w:rsidRPr="00BF3D02">
        <w:t xml:space="preserve"> resulted from </w:t>
      </w:r>
      <w:r w:rsidRPr="00BF3D02">
        <w:rPr>
          <w:i/>
        </w:rPr>
        <w:t>intentional disregard</w:t>
      </w:r>
      <w:r w:rsidRPr="00BF3D02">
        <w:t xml:space="preserve"> of a taxation law (</w:t>
      </w:r>
      <w:r>
        <w:t xml:space="preserve">other than the Excise Acts, within the meaning of the </w:t>
      </w:r>
      <w:r w:rsidRPr="00090A72">
        <w:rPr>
          <w:i/>
        </w:rPr>
        <w:t>Excise Act 1901</w:t>
      </w:r>
      <w:r w:rsidRPr="00BF3D02">
        <w:t xml:space="preserve">) by the operator of the AIV or the operator’s agent </w:t>
      </w:r>
      <w:r>
        <w:t>—</w:t>
      </w:r>
      <w:r w:rsidRPr="00BF3D02">
        <w:t xml:space="preserve"> </w:t>
      </w:r>
      <w:r>
        <w:t xml:space="preserve">the highest marginal tax rate plus Medicare levy </w:t>
      </w:r>
      <w:r w:rsidRPr="00BF3D02">
        <w:t xml:space="preserve">of the amount of the </w:t>
      </w:r>
      <w:r>
        <w:t>‘</w:t>
      </w:r>
      <w:r w:rsidRPr="00BF3D02">
        <w:t>under</w:t>
      </w:r>
      <w:r>
        <w:t>’</w:t>
      </w:r>
      <w:r w:rsidRPr="00BF3D02">
        <w:t xml:space="preserve"> or </w:t>
      </w:r>
      <w:r>
        <w:t>‘</w:t>
      </w:r>
      <w:r w:rsidRPr="00BF3D02">
        <w:t>over</w:t>
      </w:r>
      <w:r>
        <w:t>’</w:t>
      </w:r>
      <w:r w:rsidRPr="00BF3D02">
        <w:t xml:space="preserve"> multiplied by 75 per cent;</w:t>
      </w:r>
    </w:p>
    <w:p w14:paraId="7C981763" w14:textId="77777777" w:rsidR="00F04808" w:rsidRPr="00BF3D02" w:rsidRDefault="00F04808" w:rsidP="00F04808">
      <w:pPr>
        <w:pStyle w:val="dotpoint"/>
      </w:pPr>
      <w:r w:rsidRPr="00BF3D02">
        <w:t xml:space="preserve">where the </w:t>
      </w:r>
      <w:r>
        <w:t>‘</w:t>
      </w:r>
      <w:r w:rsidRPr="00BF3D02">
        <w:t>under</w:t>
      </w:r>
      <w:r>
        <w:t>’</w:t>
      </w:r>
      <w:r w:rsidRPr="00BF3D02">
        <w:t xml:space="preserve"> or </w:t>
      </w:r>
      <w:r>
        <w:t>‘</w:t>
      </w:r>
      <w:r w:rsidRPr="00BF3D02">
        <w:t>over</w:t>
      </w:r>
      <w:r>
        <w:t>’</w:t>
      </w:r>
      <w:r w:rsidRPr="00BF3D02">
        <w:t xml:space="preserve"> resulted from </w:t>
      </w:r>
      <w:r w:rsidRPr="00BF3D02">
        <w:rPr>
          <w:i/>
        </w:rPr>
        <w:t>recklessness</w:t>
      </w:r>
      <w:r w:rsidRPr="00BF3D02">
        <w:t xml:space="preserve"> by the operator of the AIV or the operator’s agent as to the operation of a taxation law </w:t>
      </w:r>
      <w:r>
        <w:t>—</w:t>
      </w:r>
      <w:r w:rsidRPr="00BF3D02">
        <w:t xml:space="preserve"> </w:t>
      </w:r>
      <w:r>
        <w:t xml:space="preserve">the highest marginal tax rate plus Medicare levy </w:t>
      </w:r>
      <w:r w:rsidRPr="00BF3D02">
        <w:t xml:space="preserve">of the amount of the </w:t>
      </w:r>
      <w:r>
        <w:t>‘</w:t>
      </w:r>
      <w:r w:rsidRPr="00BF3D02">
        <w:t>under</w:t>
      </w:r>
      <w:r>
        <w:t>’</w:t>
      </w:r>
      <w:r w:rsidRPr="00BF3D02">
        <w:t xml:space="preserve"> or </w:t>
      </w:r>
      <w:r>
        <w:t xml:space="preserve">‘over’ </w:t>
      </w:r>
      <w:r w:rsidRPr="00BF3D02">
        <w:t>multiplied by 50 per cent;</w:t>
      </w:r>
    </w:p>
    <w:p w14:paraId="71C61D3C" w14:textId="77777777" w:rsidR="00F04808" w:rsidRDefault="00F04808" w:rsidP="00F04808">
      <w:pPr>
        <w:pStyle w:val="dotpoint"/>
      </w:pPr>
      <w:proofErr w:type="gramStart"/>
      <w:r w:rsidRPr="00BF3D02">
        <w:t>where</w:t>
      </w:r>
      <w:proofErr w:type="gramEnd"/>
      <w:r w:rsidRPr="00BF3D02">
        <w:t xml:space="preserve"> the </w:t>
      </w:r>
      <w:r>
        <w:t>‘</w:t>
      </w:r>
      <w:r w:rsidRPr="00BF3D02">
        <w:t>under</w:t>
      </w:r>
      <w:r>
        <w:t>’</w:t>
      </w:r>
      <w:r w:rsidRPr="00BF3D02">
        <w:t xml:space="preserve"> or </w:t>
      </w:r>
      <w:r>
        <w:t>‘</w:t>
      </w:r>
      <w:r w:rsidRPr="00BF3D02">
        <w:t>over</w:t>
      </w:r>
      <w:r>
        <w:t>’</w:t>
      </w:r>
      <w:r w:rsidRPr="00BF3D02">
        <w:t xml:space="preserve"> resulted from </w:t>
      </w:r>
      <w:r w:rsidRPr="00BF3D02">
        <w:rPr>
          <w:i/>
        </w:rPr>
        <w:t>failure to take reasonable care</w:t>
      </w:r>
      <w:r w:rsidRPr="00BF3D02">
        <w:t xml:space="preserve"> by the operator of the AIV or the operator’s agent </w:t>
      </w:r>
      <w:r>
        <w:t>—</w:t>
      </w:r>
      <w:r w:rsidRPr="00BF3D02">
        <w:t xml:space="preserve"> </w:t>
      </w:r>
      <w:r>
        <w:t xml:space="preserve">the highest marginal tax rate plus Medicare levy </w:t>
      </w:r>
      <w:r w:rsidRPr="00BF3D02">
        <w:t xml:space="preserve">of the amount of the </w:t>
      </w:r>
      <w:r>
        <w:t>‘</w:t>
      </w:r>
      <w:r w:rsidRPr="00BF3D02">
        <w:t>under</w:t>
      </w:r>
      <w:r>
        <w:t>’</w:t>
      </w:r>
      <w:r w:rsidRPr="00BF3D02">
        <w:t xml:space="preserve"> or </w:t>
      </w:r>
      <w:r>
        <w:t>‘</w:t>
      </w:r>
      <w:r w:rsidRPr="00BF3D02">
        <w:t>over</w:t>
      </w:r>
      <w:r>
        <w:t>’</w:t>
      </w:r>
      <w:r w:rsidRPr="00BF3D02">
        <w:t xml:space="preserve"> multiplied by 25 per cent.</w:t>
      </w:r>
    </w:p>
    <w:p w14:paraId="585C72C4" w14:textId="12FEC3A4" w:rsidR="00F04808" w:rsidRPr="00BF3D02" w:rsidRDefault="00F04808" w:rsidP="00F04808">
      <w:pPr>
        <w:pStyle w:val="base-text-paragraphnonumbers"/>
      </w:pPr>
      <w:r w:rsidRPr="00BF3D02">
        <w:rPr>
          <w:rStyle w:val="Referencingstyle"/>
        </w:rPr>
        <w:t>[Schedule</w:t>
      </w:r>
      <w:r w:rsidR="00E71F7C">
        <w:rPr>
          <w:rStyle w:val="Referencingstyle"/>
        </w:rPr>
        <w:t xml:space="preserve"> 9, item 42</w:t>
      </w:r>
      <w:r>
        <w:rPr>
          <w:rStyle w:val="Referencingstyle"/>
        </w:rPr>
        <w:t>, table item</w:t>
      </w:r>
      <w:r w:rsidR="00F965FC">
        <w:rPr>
          <w:rStyle w:val="Referencingstyle"/>
        </w:rPr>
        <w:t xml:space="preserve"> 3 in subsection </w:t>
      </w:r>
      <w:r>
        <w:rPr>
          <w:rStyle w:val="Referencingstyle"/>
        </w:rPr>
        <w:t>288</w:t>
      </w:r>
      <w:r>
        <w:rPr>
          <w:rStyle w:val="Referencingstyle"/>
        </w:rPr>
        <w:noBreakHyphen/>
      </w:r>
      <w:proofErr w:type="gramStart"/>
      <w:r>
        <w:rPr>
          <w:rStyle w:val="Referencingstyle"/>
        </w:rPr>
        <w:t>115(</w:t>
      </w:r>
      <w:proofErr w:type="gramEnd"/>
      <w:r>
        <w:rPr>
          <w:rStyle w:val="Referencingstyle"/>
        </w:rPr>
        <w:t>3) in Schedule 1 to the TAA </w:t>
      </w:r>
      <w:r w:rsidRPr="00BF3D02">
        <w:rPr>
          <w:rStyle w:val="Referencingstyle"/>
        </w:rPr>
        <w:t>1953]</w:t>
      </w:r>
    </w:p>
    <w:p w14:paraId="6DABBFAA" w14:textId="77777777" w:rsidR="00F04808" w:rsidRPr="00BF3D02" w:rsidRDefault="00F04808" w:rsidP="00F04808">
      <w:pPr>
        <w:pStyle w:val="base-text-paragraph"/>
        <w:numPr>
          <w:ilvl w:val="1"/>
          <w:numId w:val="44"/>
        </w:numPr>
      </w:pPr>
      <w:r w:rsidRPr="00BF3D02">
        <w:t xml:space="preserve">In the case of an </w:t>
      </w:r>
      <w:r>
        <w:t>‘</w:t>
      </w:r>
      <w:r w:rsidRPr="00BF3D02">
        <w:t>over</w:t>
      </w:r>
      <w:r>
        <w:t>’</w:t>
      </w:r>
      <w:r w:rsidRPr="00BF3D02">
        <w:t xml:space="preserve"> of a character relating to assessable income, exempt income, non</w:t>
      </w:r>
      <w:r w:rsidRPr="00BF3D02">
        <w:noBreakHyphen/>
        <w:t>assessable non</w:t>
      </w:r>
      <w:r w:rsidRPr="00BF3D02">
        <w:noBreakHyphen/>
        <w:t xml:space="preserve">exempt income, or of an </w:t>
      </w:r>
      <w:r>
        <w:t>‘</w:t>
      </w:r>
      <w:r w:rsidRPr="00BF3D02">
        <w:t>under</w:t>
      </w:r>
      <w:r>
        <w:t>’</w:t>
      </w:r>
      <w:r w:rsidRPr="00BF3D02">
        <w:t xml:space="preserve"> of a character relating to a tax offset, the amount of the administrative penalty is:</w:t>
      </w:r>
    </w:p>
    <w:p w14:paraId="70E4BD43" w14:textId="552C408A" w:rsidR="00F04808" w:rsidRPr="00BF3D02" w:rsidRDefault="00F04808" w:rsidP="00F04808">
      <w:pPr>
        <w:pStyle w:val="dotpoint"/>
      </w:pPr>
      <w:r w:rsidRPr="00BF3D02">
        <w:t xml:space="preserve">where the </w:t>
      </w:r>
      <w:r>
        <w:t>‘</w:t>
      </w:r>
      <w:r w:rsidR="00292559" w:rsidRPr="00BF3D02">
        <w:t>over</w:t>
      </w:r>
      <w:r w:rsidR="00292559">
        <w:t>’</w:t>
      </w:r>
      <w:r w:rsidR="00292559" w:rsidRPr="00BF3D02">
        <w:t xml:space="preserve"> </w:t>
      </w:r>
      <w:r w:rsidRPr="00BF3D02">
        <w:t xml:space="preserve">or </w:t>
      </w:r>
      <w:r>
        <w:t>‘</w:t>
      </w:r>
      <w:r w:rsidR="00292559" w:rsidRPr="00BF3D02">
        <w:t>under</w:t>
      </w:r>
      <w:r w:rsidR="00292559">
        <w:t>’</w:t>
      </w:r>
      <w:r w:rsidRPr="00BF3D02">
        <w:t xml:space="preserve"> resulted from intentional disregard of a taxation</w:t>
      </w:r>
      <w:r>
        <w:t xml:space="preserve"> law (other than the Excise Acts, within the meaning of the </w:t>
      </w:r>
      <w:r w:rsidRPr="00090A72">
        <w:rPr>
          <w:i/>
        </w:rPr>
        <w:t>Excise Act 1901</w:t>
      </w:r>
      <w:r w:rsidRPr="00BF3D02">
        <w:t xml:space="preserve">) by the operator of the AIV or the operator’s agent </w:t>
      </w:r>
      <w:r>
        <w:t>—</w:t>
      </w:r>
      <w:r w:rsidRPr="00BF3D02">
        <w:t xml:space="preserve"> the greater of:</w:t>
      </w:r>
    </w:p>
    <w:p w14:paraId="123DB1BF" w14:textId="77777777" w:rsidR="00F04808" w:rsidRPr="00BF3D02" w:rsidRDefault="00F04808" w:rsidP="00F04808">
      <w:pPr>
        <w:pStyle w:val="dotpoint"/>
        <w:numPr>
          <w:ilvl w:val="1"/>
          <w:numId w:val="11"/>
        </w:numPr>
      </w:pPr>
      <w:r>
        <w:t xml:space="preserve">the highest marginal tax rate plus Medicare levy </w:t>
      </w:r>
      <w:r w:rsidRPr="00BF3D02">
        <w:t xml:space="preserve">of the amount of the </w:t>
      </w:r>
      <w:r>
        <w:t>‘</w:t>
      </w:r>
      <w:r w:rsidRPr="00BF3D02">
        <w:t>under</w:t>
      </w:r>
      <w:r>
        <w:t>’</w:t>
      </w:r>
      <w:r w:rsidRPr="00BF3D02">
        <w:t xml:space="preserve"> or </w:t>
      </w:r>
      <w:r>
        <w:t>‘</w:t>
      </w:r>
      <w:r w:rsidRPr="00BF3D02">
        <w:t>over</w:t>
      </w:r>
      <w:r>
        <w:t>’ multiplied by 30 per cent; or</w:t>
      </w:r>
    </w:p>
    <w:p w14:paraId="63D8B058" w14:textId="77777777" w:rsidR="00F04808" w:rsidRPr="00BF3D02" w:rsidRDefault="00F04808" w:rsidP="00F04808">
      <w:pPr>
        <w:pStyle w:val="dotpoint"/>
        <w:numPr>
          <w:ilvl w:val="1"/>
          <w:numId w:val="11"/>
        </w:numPr>
      </w:pPr>
      <w:r w:rsidRPr="00BF3D02">
        <w:t>60 penalty units;</w:t>
      </w:r>
    </w:p>
    <w:p w14:paraId="0AF21682" w14:textId="288EFC9A" w:rsidR="00F04808" w:rsidRPr="00BF3D02" w:rsidRDefault="00F04808" w:rsidP="00F04808">
      <w:pPr>
        <w:pStyle w:val="dotpoint"/>
      </w:pPr>
      <w:r w:rsidRPr="00BF3D02">
        <w:t xml:space="preserve">where the </w:t>
      </w:r>
      <w:r>
        <w:t>‘</w:t>
      </w:r>
      <w:r w:rsidR="00292559" w:rsidRPr="00BF3D02">
        <w:t>over</w:t>
      </w:r>
      <w:r w:rsidR="00292559">
        <w:t>’</w:t>
      </w:r>
      <w:r w:rsidR="00292559" w:rsidRPr="00BF3D02">
        <w:t xml:space="preserve"> </w:t>
      </w:r>
      <w:r w:rsidRPr="00BF3D02">
        <w:t xml:space="preserve">or </w:t>
      </w:r>
      <w:r>
        <w:t>‘</w:t>
      </w:r>
      <w:r w:rsidR="00292559" w:rsidRPr="00BF3D02">
        <w:t>under</w:t>
      </w:r>
      <w:r w:rsidR="00292559">
        <w:t>’</w:t>
      </w:r>
      <w:r w:rsidRPr="00BF3D02">
        <w:t xml:space="preserve"> resulted from recklessness by the operator of the AIV or the operator’s agent as to the operation of a taxation law </w:t>
      </w:r>
      <w:r>
        <w:t>—</w:t>
      </w:r>
      <w:r w:rsidRPr="00BF3D02">
        <w:t xml:space="preserve"> the greater of:</w:t>
      </w:r>
    </w:p>
    <w:p w14:paraId="04563A58" w14:textId="77777777" w:rsidR="00F04808" w:rsidRPr="00BF3D02" w:rsidRDefault="00F04808" w:rsidP="00F04808">
      <w:pPr>
        <w:pStyle w:val="dotpoint"/>
        <w:numPr>
          <w:ilvl w:val="1"/>
          <w:numId w:val="11"/>
        </w:numPr>
      </w:pPr>
      <w:r>
        <w:t xml:space="preserve">the highest marginal tax rate plus Medicare levy </w:t>
      </w:r>
      <w:r w:rsidRPr="00BF3D02">
        <w:t xml:space="preserve">of the amount of the </w:t>
      </w:r>
      <w:r>
        <w:t>‘</w:t>
      </w:r>
      <w:r w:rsidRPr="00BF3D02">
        <w:t>under</w:t>
      </w:r>
      <w:r>
        <w:t>’</w:t>
      </w:r>
      <w:r w:rsidRPr="00BF3D02">
        <w:t xml:space="preserve"> or</w:t>
      </w:r>
      <w:r>
        <w:t xml:space="preserve"> ‘</w:t>
      </w:r>
      <w:r w:rsidRPr="00BF3D02">
        <w:t>over</w:t>
      </w:r>
      <w:r>
        <w:t>’ multiplied by 20 per cent; or</w:t>
      </w:r>
    </w:p>
    <w:p w14:paraId="7B08EF86" w14:textId="77777777" w:rsidR="00F04808" w:rsidRPr="00BF3D02" w:rsidRDefault="00F04808" w:rsidP="00F04808">
      <w:pPr>
        <w:pStyle w:val="dotpoint"/>
        <w:numPr>
          <w:ilvl w:val="1"/>
          <w:numId w:val="11"/>
        </w:numPr>
      </w:pPr>
      <w:r w:rsidRPr="00BF3D02">
        <w:t>40 penalty units;</w:t>
      </w:r>
    </w:p>
    <w:p w14:paraId="20D9D24E" w14:textId="364341E3" w:rsidR="00F04808" w:rsidRPr="00BF3D02" w:rsidRDefault="00F04808" w:rsidP="00F04808">
      <w:pPr>
        <w:pStyle w:val="dotpoint"/>
      </w:pPr>
      <w:r w:rsidRPr="00BF3D02">
        <w:lastRenderedPageBreak/>
        <w:t xml:space="preserve">where the </w:t>
      </w:r>
      <w:r>
        <w:t>‘</w:t>
      </w:r>
      <w:r w:rsidR="00292559" w:rsidRPr="00BF3D02">
        <w:t>over</w:t>
      </w:r>
      <w:r w:rsidR="00292559">
        <w:t>’</w:t>
      </w:r>
      <w:r w:rsidR="00292559" w:rsidRPr="00BF3D02">
        <w:t xml:space="preserve"> </w:t>
      </w:r>
      <w:r w:rsidRPr="00BF3D02">
        <w:t xml:space="preserve">or </w:t>
      </w:r>
      <w:r>
        <w:t>‘</w:t>
      </w:r>
      <w:r w:rsidR="00292559" w:rsidRPr="00BF3D02">
        <w:t>under</w:t>
      </w:r>
      <w:r w:rsidR="00292559">
        <w:t>’</w:t>
      </w:r>
      <w:r w:rsidRPr="00BF3D02">
        <w:t xml:space="preserve"> resulted from </w:t>
      </w:r>
      <w:r w:rsidRPr="00BF3D02">
        <w:rPr>
          <w:i/>
        </w:rPr>
        <w:t>failure to take reasonable care</w:t>
      </w:r>
      <w:r w:rsidRPr="00BF3D02">
        <w:t xml:space="preserve"> by the operator  of the AIV or the operator’s agent </w:t>
      </w:r>
      <w:r>
        <w:t>—</w:t>
      </w:r>
      <w:r w:rsidRPr="00BF3D02">
        <w:t xml:space="preserve"> the greater of:</w:t>
      </w:r>
    </w:p>
    <w:p w14:paraId="5F65C018" w14:textId="77777777" w:rsidR="00F04808" w:rsidRPr="00BF3D02" w:rsidRDefault="00F04808" w:rsidP="00F04808">
      <w:pPr>
        <w:pStyle w:val="dotpoint"/>
        <w:numPr>
          <w:ilvl w:val="1"/>
          <w:numId w:val="11"/>
        </w:numPr>
      </w:pPr>
      <w:r>
        <w:t xml:space="preserve">the highest marginal tax rate plus Medicare levy </w:t>
      </w:r>
      <w:r w:rsidRPr="00BF3D02">
        <w:t>of the amount of the under or ove</w:t>
      </w:r>
      <w:r>
        <w:t>r multiplied by 10 per cent; or</w:t>
      </w:r>
    </w:p>
    <w:p w14:paraId="5D8736AD" w14:textId="77777777" w:rsidR="00F04808" w:rsidRDefault="00F04808" w:rsidP="00F04808">
      <w:pPr>
        <w:pStyle w:val="dotpoint"/>
        <w:numPr>
          <w:ilvl w:val="1"/>
          <w:numId w:val="11"/>
        </w:numPr>
      </w:pPr>
      <w:r w:rsidRPr="00BF3D02">
        <w:t>20 penalty units.</w:t>
      </w:r>
    </w:p>
    <w:p w14:paraId="27498283" w14:textId="7B12A926" w:rsidR="00F04808" w:rsidRPr="00BF3D02" w:rsidRDefault="00F04808" w:rsidP="00F04808">
      <w:pPr>
        <w:pStyle w:val="base-text-paragraphnonumbers"/>
      </w:pPr>
      <w:r w:rsidRPr="00BF3D02">
        <w:rPr>
          <w:rStyle w:val="Referencingstyle"/>
        </w:rPr>
        <w:t>[Schedule</w:t>
      </w:r>
      <w:r w:rsidR="00EC186D">
        <w:rPr>
          <w:rStyle w:val="Referencingstyle"/>
        </w:rPr>
        <w:t xml:space="preserve"> </w:t>
      </w:r>
      <w:r w:rsidR="00F13582">
        <w:rPr>
          <w:rStyle w:val="Referencingstyle"/>
        </w:rPr>
        <w:t>9</w:t>
      </w:r>
      <w:r w:rsidR="00127E7E">
        <w:rPr>
          <w:rStyle w:val="Referencingstyle"/>
        </w:rPr>
        <w:t>, items</w:t>
      </w:r>
      <w:r w:rsidR="00F13582">
        <w:rPr>
          <w:rStyle w:val="Referencingstyle"/>
        </w:rPr>
        <w:t xml:space="preserve"> 42 and 43</w:t>
      </w:r>
      <w:r>
        <w:rPr>
          <w:rStyle w:val="Referencingstyle"/>
        </w:rPr>
        <w:t>, paragraph 288</w:t>
      </w:r>
      <w:r>
        <w:rPr>
          <w:rStyle w:val="Referencingstyle"/>
        </w:rPr>
        <w:noBreakHyphen/>
      </w:r>
      <w:proofErr w:type="gramStart"/>
      <w:r>
        <w:rPr>
          <w:rStyle w:val="Referencingstyle"/>
        </w:rPr>
        <w:t>115(</w:t>
      </w:r>
      <w:proofErr w:type="gramEnd"/>
      <w:r>
        <w:rPr>
          <w:rStyle w:val="Referencingstyle"/>
        </w:rPr>
        <w:t>4)(c</w:t>
      </w:r>
      <w:r w:rsidR="00F13582">
        <w:rPr>
          <w:rStyle w:val="Referencingstyle"/>
        </w:rPr>
        <w:t xml:space="preserve">) and table item 3 </w:t>
      </w:r>
      <w:r>
        <w:rPr>
          <w:rStyle w:val="Referencingstyle"/>
        </w:rPr>
        <w:t>in subsection</w:t>
      </w:r>
      <w:r w:rsidR="007055A2">
        <w:rPr>
          <w:rStyle w:val="Referencingstyle"/>
        </w:rPr>
        <w:t> </w:t>
      </w:r>
      <w:r>
        <w:rPr>
          <w:rStyle w:val="Referencingstyle"/>
        </w:rPr>
        <w:t>288</w:t>
      </w:r>
      <w:r>
        <w:rPr>
          <w:rStyle w:val="Referencingstyle"/>
        </w:rPr>
        <w:noBreakHyphen/>
        <w:t>115(3) in</w:t>
      </w:r>
      <w:r w:rsidRPr="00BF3D02">
        <w:rPr>
          <w:rStyle w:val="Referencingstyle"/>
        </w:rPr>
        <w:t xml:space="preserve"> Schedule 1 to the TAA 1953]</w:t>
      </w:r>
    </w:p>
    <w:p w14:paraId="4A209223" w14:textId="22DEF358" w:rsidR="00F04808" w:rsidRPr="004A4686" w:rsidRDefault="00F04808" w:rsidP="00F04808">
      <w:pPr>
        <w:pStyle w:val="base-text-paragraph"/>
        <w:numPr>
          <w:ilvl w:val="1"/>
          <w:numId w:val="44"/>
        </w:numPr>
        <w:rPr>
          <w:rStyle w:val="Referencingstyle"/>
          <w:b w:val="0"/>
          <w:i w:val="0"/>
          <w:sz w:val="22"/>
        </w:rPr>
      </w:pPr>
      <w:r w:rsidRPr="00182626">
        <w:t xml:space="preserve">If multiple penalties apply to an </w:t>
      </w:r>
      <w:r>
        <w:t>‘</w:t>
      </w:r>
      <w:r w:rsidRPr="00182626">
        <w:t>under</w:t>
      </w:r>
      <w:r>
        <w:t>’</w:t>
      </w:r>
      <w:r w:rsidRPr="00182626">
        <w:t xml:space="preserve"> or</w:t>
      </w:r>
      <w:r w:rsidRPr="00BF3D02">
        <w:t xml:space="preserve"> </w:t>
      </w:r>
      <w:r>
        <w:t>‘</w:t>
      </w:r>
      <w:r w:rsidRPr="00BF3D02">
        <w:t>over</w:t>
      </w:r>
      <w:r>
        <w:t>’</w:t>
      </w:r>
      <w:r w:rsidRPr="00BF3D02">
        <w:t>, the penalty that produces the greatest penalty will apply.</w:t>
      </w:r>
      <w:r>
        <w:t xml:space="preserve"> These penalties are consistent with other tax penalties that apply to all other taxpayers. </w:t>
      </w:r>
      <w:r>
        <w:rPr>
          <w:rStyle w:val="Referencingstyle"/>
        </w:rPr>
        <w:t>[Schedule 9</w:t>
      </w:r>
      <w:r w:rsidRPr="00BF3D02">
        <w:rPr>
          <w:rStyle w:val="Referencingstyle"/>
        </w:rPr>
        <w:t xml:space="preserve">, </w:t>
      </w:r>
      <w:r w:rsidR="009C35B3">
        <w:rPr>
          <w:rStyle w:val="Referencingstyle"/>
        </w:rPr>
        <w:t>item 44</w:t>
      </w:r>
      <w:r>
        <w:rPr>
          <w:rStyle w:val="Referencingstyle"/>
        </w:rPr>
        <w:t>, subsection 288</w:t>
      </w:r>
      <w:r>
        <w:rPr>
          <w:rStyle w:val="Referencingstyle"/>
        </w:rPr>
        <w:noBreakHyphen/>
        <w:t>115(7) in</w:t>
      </w:r>
      <w:r w:rsidRPr="00BF3D02">
        <w:rPr>
          <w:rStyle w:val="Referencingstyle"/>
        </w:rPr>
        <w:t xml:space="preserve"> Schedule 1 to the TAA 1953]</w:t>
      </w:r>
    </w:p>
    <w:p w14:paraId="4B4C0DDA" w14:textId="1BAA4ACB" w:rsidR="0016134B" w:rsidRDefault="0016134B" w:rsidP="0016134B">
      <w:pPr>
        <w:pStyle w:val="Heading3"/>
      </w:pPr>
      <w:r>
        <w:t>C</w:t>
      </w:r>
      <w:r w:rsidRPr="00BF3D02">
        <w:t>lasses of membership interests</w:t>
      </w:r>
      <w:r w:rsidR="001C540C">
        <w:t xml:space="preserve"> for an ASF</w:t>
      </w:r>
    </w:p>
    <w:p w14:paraId="25249463" w14:textId="08CC4F20" w:rsidR="0016134B" w:rsidRDefault="0016134B" w:rsidP="0016134B">
      <w:pPr>
        <w:pStyle w:val="base-text-paragraph"/>
        <w:numPr>
          <w:ilvl w:val="1"/>
          <w:numId w:val="44"/>
        </w:numPr>
      </w:pPr>
      <w:r w:rsidRPr="00BF3D02">
        <w:t xml:space="preserve">The amendments </w:t>
      </w:r>
      <w:r w:rsidR="00EB74CC">
        <w:t xml:space="preserve">in </w:t>
      </w:r>
      <w:r w:rsidR="00EB74CC" w:rsidRPr="00BF3D02">
        <w:t xml:space="preserve">Schedule </w:t>
      </w:r>
      <w:r w:rsidR="00EB74CC">
        <w:t>2</w:t>
      </w:r>
      <w:r w:rsidR="00EB74CC" w:rsidRPr="00BF3D02">
        <w:t xml:space="preserve"> to th</w:t>
      </w:r>
      <w:r w:rsidR="00EB74CC">
        <w:t>e</w:t>
      </w:r>
      <w:r w:rsidR="00EB74CC" w:rsidRPr="00BF3D02">
        <w:t xml:space="preserve"> </w:t>
      </w:r>
      <w:r w:rsidR="00EB74CC">
        <w:t xml:space="preserve">Exposure Draft </w:t>
      </w:r>
      <w:r w:rsidR="00EB74CC" w:rsidRPr="00BF3D02">
        <w:t>Bill</w:t>
      </w:r>
      <w:r w:rsidRPr="00BF3D02">
        <w:t xml:space="preserve"> </w:t>
      </w:r>
      <w:r w:rsidR="005656E9">
        <w:t xml:space="preserve">ensure that an AIV (including an ASF of a CCIV) </w:t>
      </w:r>
      <w:r w:rsidRPr="00BF3D02">
        <w:t xml:space="preserve">with separate membership interests </w:t>
      </w:r>
      <w:r>
        <w:t xml:space="preserve">(such as separate </w:t>
      </w:r>
      <w:r w:rsidR="005656E9">
        <w:t xml:space="preserve">units or </w:t>
      </w:r>
      <w:r>
        <w:t xml:space="preserve">classes of shares) </w:t>
      </w:r>
      <w:r w:rsidRPr="00BF3D02">
        <w:t xml:space="preserve">may elect to treat </w:t>
      </w:r>
      <w:r>
        <w:t xml:space="preserve">separate classes of membership interests as separate </w:t>
      </w:r>
      <w:r w:rsidR="005656E9">
        <w:t>AIV</w:t>
      </w:r>
      <w:r>
        <w:t xml:space="preserve">s for the purposes of Division 276, </w:t>
      </w:r>
      <w:r w:rsidRPr="00BF3D02">
        <w:t>where certain criteria</w:t>
      </w:r>
      <w:r>
        <w:t xml:space="preserve"> are met</w:t>
      </w:r>
      <w:r w:rsidRPr="00BF3D02">
        <w:t>.</w:t>
      </w:r>
      <w:r>
        <w:t xml:space="preserve"> </w:t>
      </w:r>
      <w:r>
        <w:rPr>
          <w:rStyle w:val="Referencingstyle"/>
        </w:rPr>
        <w:t xml:space="preserve">[Schedule </w:t>
      </w:r>
      <w:r w:rsidR="00DB46E2">
        <w:rPr>
          <w:rStyle w:val="Referencingstyle"/>
        </w:rPr>
        <w:t>2</w:t>
      </w:r>
      <w:r w:rsidR="00BB0C16">
        <w:rPr>
          <w:rStyle w:val="Referencingstyle"/>
        </w:rPr>
        <w:t>,</w:t>
      </w:r>
      <w:r>
        <w:rPr>
          <w:rStyle w:val="Referencingstyle"/>
        </w:rPr>
        <w:t xml:space="preserve"> item 1</w:t>
      </w:r>
      <w:r w:rsidR="00DB46E2">
        <w:rPr>
          <w:rStyle w:val="Referencingstyle"/>
        </w:rPr>
        <w:t>0</w:t>
      </w:r>
      <w:r w:rsidRPr="005D203D">
        <w:rPr>
          <w:rStyle w:val="Referencingstyle"/>
        </w:rPr>
        <w:t>, section</w:t>
      </w:r>
      <w:r w:rsidR="00DB46E2">
        <w:rPr>
          <w:rStyle w:val="Referencingstyle"/>
        </w:rPr>
        <w:t> </w:t>
      </w:r>
      <w:r w:rsidRPr="005D203D">
        <w:rPr>
          <w:rStyle w:val="Referencingstyle"/>
        </w:rPr>
        <w:t>276</w:t>
      </w:r>
      <w:r w:rsidR="00DB46E2">
        <w:rPr>
          <w:rStyle w:val="Referencingstyle"/>
        </w:rPr>
        <w:noBreakHyphen/>
      </w:r>
      <w:r w:rsidRPr="005D203D">
        <w:rPr>
          <w:rStyle w:val="Referencingstyle"/>
        </w:rPr>
        <w:t>48]</w:t>
      </w:r>
    </w:p>
    <w:p w14:paraId="075D723C" w14:textId="77777777" w:rsidR="0016134B" w:rsidRDefault="0016134B" w:rsidP="0016134B">
      <w:pPr>
        <w:pStyle w:val="base-text-paragraph"/>
        <w:numPr>
          <w:ilvl w:val="1"/>
          <w:numId w:val="44"/>
        </w:numPr>
      </w:pPr>
      <w:r>
        <w:t xml:space="preserve">These criteria include: </w:t>
      </w:r>
    </w:p>
    <w:p w14:paraId="26F41A3A" w14:textId="77777777" w:rsidR="0016134B" w:rsidRDefault="0016134B" w:rsidP="0016134B">
      <w:pPr>
        <w:pStyle w:val="dotpoint"/>
      </w:pPr>
      <w:r>
        <w:t>the rights arising from each of the membership interests in a particular class must be the same as the rights arising from every other membership interest in that class;</w:t>
      </w:r>
    </w:p>
    <w:p w14:paraId="7D9EDFE9" w14:textId="77777777" w:rsidR="0016134B" w:rsidRDefault="0016134B" w:rsidP="0016134B">
      <w:pPr>
        <w:pStyle w:val="dotpoint"/>
      </w:pPr>
      <w:r>
        <w:t>each of those membership interests in a particular class must be distinct from each of the membership interests in another class; and</w:t>
      </w:r>
    </w:p>
    <w:p w14:paraId="5300DA5D" w14:textId="77777777" w:rsidR="0016134B" w:rsidRDefault="0016134B" w:rsidP="0016134B">
      <w:pPr>
        <w:pStyle w:val="dotpoint"/>
      </w:pPr>
      <w:proofErr w:type="gramStart"/>
      <w:r>
        <w:t>the</w:t>
      </w:r>
      <w:proofErr w:type="gramEnd"/>
      <w:r>
        <w:t xml:space="preserve"> operator of the AIV must have made a choice to apply the attribution regime separately to each class of membership interests.</w:t>
      </w:r>
    </w:p>
    <w:p w14:paraId="62C61134" w14:textId="4666B411" w:rsidR="0016134B" w:rsidRDefault="004529EF" w:rsidP="0016134B">
      <w:pPr>
        <w:pStyle w:val="base-text-paragraphnonumbers"/>
      </w:pPr>
      <w:r>
        <w:rPr>
          <w:rStyle w:val="Referencingstyle"/>
        </w:rPr>
        <w:t>[Schedule 2, item 10</w:t>
      </w:r>
      <w:r w:rsidR="0016134B" w:rsidRPr="005D203D">
        <w:rPr>
          <w:rStyle w:val="Referencingstyle"/>
        </w:rPr>
        <w:t xml:space="preserve">, </w:t>
      </w:r>
      <w:proofErr w:type="gramStart"/>
      <w:r w:rsidR="0016134B">
        <w:rPr>
          <w:rStyle w:val="Referencingstyle"/>
        </w:rPr>
        <w:t>sub</w:t>
      </w:r>
      <w:r w:rsidR="0016134B" w:rsidRPr="005D203D">
        <w:rPr>
          <w:rStyle w:val="Referencingstyle"/>
        </w:rPr>
        <w:t>section</w:t>
      </w:r>
      <w:proofErr w:type="gramEnd"/>
      <w:r w:rsidR="0016134B" w:rsidRPr="005D203D">
        <w:rPr>
          <w:rStyle w:val="Referencingstyle"/>
        </w:rPr>
        <w:t xml:space="preserve"> 276-48</w:t>
      </w:r>
      <w:r w:rsidR="0016134B">
        <w:rPr>
          <w:rStyle w:val="Referencingstyle"/>
        </w:rPr>
        <w:t>(1)</w:t>
      </w:r>
      <w:r w:rsidR="0016134B" w:rsidRPr="005D203D">
        <w:rPr>
          <w:rStyle w:val="Referencingstyle"/>
        </w:rPr>
        <w:t>]</w:t>
      </w:r>
    </w:p>
    <w:p w14:paraId="638ED58D" w14:textId="730C4E06" w:rsidR="0016134B" w:rsidRDefault="005656E9" w:rsidP="0016134B">
      <w:pPr>
        <w:pStyle w:val="base-text-paragraph"/>
        <w:numPr>
          <w:ilvl w:val="1"/>
          <w:numId w:val="44"/>
        </w:numPr>
      </w:pPr>
      <w:r>
        <w:t>For AMITs, although the rules have been relocated, the operation of these rules is unchanged. For CCIVs, w</w:t>
      </w:r>
      <w:r w:rsidR="0016134B" w:rsidRPr="00FB0304">
        <w:t>here membership interests of an A</w:t>
      </w:r>
      <w:r w:rsidR="003F7095">
        <w:t>SF</w:t>
      </w:r>
      <w:r w:rsidR="0016134B" w:rsidRPr="00FB0304">
        <w:t xml:space="preserve"> are divided into cl</w:t>
      </w:r>
      <w:r w:rsidR="003F7095">
        <w:t xml:space="preserve">asses and the operator of the </w:t>
      </w:r>
      <w:r w:rsidR="0016134B" w:rsidRPr="00FB0304">
        <w:t>CCIV make</w:t>
      </w:r>
      <w:r w:rsidR="003F7095">
        <w:t xml:space="preserve">s an irrevocable election, the </w:t>
      </w:r>
      <w:r w:rsidR="0016134B" w:rsidRPr="00FB0304">
        <w:t xml:space="preserve">CCIV may be able to apply the attribution regime separately to each class of membership interests in the </w:t>
      </w:r>
      <w:r w:rsidR="003F7095">
        <w:t>ASF</w:t>
      </w:r>
      <w:r w:rsidR="0016134B" w:rsidRPr="00FB0304">
        <w:t xml:space="preserve"> for that income year and every subsequent income year. </w:t>
      </w:r>
      <w:r w:rsidR="0016134B" w:rsidRPr="00FB0304">
        <w:rPr>
          <w:rStyle w:val="Referencingstyle"/>
        </w:rPr>
        <w:t>[Sched</w:t>
      </w:r>
      <w:r w:rsidR="004529EF">
        <w:rPr>
          <w:rStyle w:val="Referencingstyle"/>
        </w:rPr>
        <w:t>ule 2, item 10</w:t>
      </w:r>
      <w:r w:rsidR="0016134B">
        <w:rPr>
          <w:rStyle w:val="Referencingstyle"/>
        </w:rPr>
        <w:t>, subsections 276</w:t>
      </w:r>
      <w:r w:rsidR="0016134B">
        <w:rPr>
          <w:rStyle w:val="Referencingstyle"/>
        </w:rPr>
        <w:noBreakHyphen/>
      </w:r>
      <w:r w:rsidR="0016134B" w:rsidRPr="00FB0304">
        <w:rPr>
          <w:rStyle w:val="Referencingstyle"/>
        </w:rPr>
        <w:t>48(2), (4) and (5)]</w:t>
      </w:r>
    </w:p>
    <w:p w14:paraId="79A35E02" w14:textId="4131CA00" w:rsidR="0016134B" w:rsidRDefault="005656E9" w:rsidP="0016134B">
      <w:pPr>
        <w:pStyle w:val="base-text-paragraph"/>
        <w:numPr>
          <w:ilvl w:val="1"/>
          <w:numId w:val="44"/>
        </w:numPr>
      </w:pPr>
      <w:r w:rsidRPr="00FB0304">
        <w:t xml:space="preserve">This means that each class will effectively be treated as a separate </w:t>
      </w:r>
      <w:r>
        <w:t>ASF</w:t>
      </w:r>
      <w:r w:rsidRPr="00FB0304">
        <w:t xml:space="preserve"> for the purposes of the attribution regime.</w:t>
      </w:r>
      <w:r>
        <w:t xml:space="preserve"> A</w:t>
      </w:r>
      <w:r w:rsidR="0016134B" w:rsidRPr="002E438C">
        <w:t>ssessable income, exempt income, non</w:t>
      </w:r>
      <w:r w:rsidR="0016134B" w:rsidRPr="002E438C">
        <w:noBreakHyphen/>
        <w:t>assessable non</w:t>
      </w:r>
      <w:r w:rsidR="0016134B" w:rsidRPr="002E438C">
        <w:noBreakHyphen/>
        <w:t xml:space="preserve">exempt income, tax losses, </w:t>
      </w:r>
      <w:r w:rsidR="0016134B" w:rsidRPr="002E438C">
        <w:lastRenderedPageBreak/>
        <w:t>net capital losses and other similar amounts</w:t>
      </w:r>
      <w:r w:rsidR="0016134B">
        <w:t xml:space="preserve"> derived by the</w:t>
      </w:r>
      <w:r w:rsidR="0016134B" w:rsidRPr="002E438C">
        <w:t xml:space="preserve"> </w:t>
      </w:r>
      <w:r w:rsidR="003F7095">
        <w:t>ASF of a CCIV</w:t>
      </w:r>
      <w:r w:rsidR="0016134B" w:rsidRPr="002E438C">
        <w:t xml:space="preserve"> for an income year must be allocated between each class on a fair and reasonable basis.</w:t>
      </w:r>
      <w:r w:rsidR="0016134B" w:rsidRPr="00E97DB0">
        <w:rPr>
          <w:b/>
          <w:i/>
        </w:rPr>
        <w:t xml:space="preserve"> </w:t>
      </w:r>
      <w:r w:rsidR="004529EF">
        <w:rPr>
          <w:rStyle w:val="Referencingstyle"/>
        </w:rPr>
        <w:t>[Schedule 2</w:t>
      </w:r>
      <w:r w:rsidR="0016134B">
        <w:rPr>
          <w:rStyle w:val="Referencingstyle"/>
        </w:rPr>
        <w:t>, item</w:t>
      </w:r>
      <w:r w:rsidR="009737E1">
        <w:rPr>
          <w:rStyle w:val="Referencingstyle"/>
        </w:rPr>
        <w:t> </w:t>
      </w:r>
      <w:r w:rsidR="004529EF">
        <w:rPr>
          <w:rStyle w:val="Referencingstyle"/>
        </w:rPr>
        <w:t>10</w:t>
      </w:r>
      <w:r w:rsidR="0016134B">
        <w:rPr>
          <w:rStyle w:val="Referencingstyle"/>
        </w:rPr>
        <w:t>, subsection </w:t>
      </w:r>
      <w:r w:rsidR="0016134B" w:rsidRPr="00E97DB0">
        <w:rPr>
          <w:rStyle w:val="Referencingstyle"/>
        </w:rPr>
        <w:t>276</w:t>
      </w:r>
      <w:r w:rsidR="0016134B">
        <w:rPr>
          <w:rStyle w:val="Referencingstyle"/>
        </w:rPr>
        <w:noBreakHyphen/>
      </w:r>
      <w:r w:rsidR="0016134B" w:rsidRPr="00E97DB0">
        <w:rPr>
          <w:rStyle w:val="Referencingstyle"/>
        </w:rPr>
        <w:t>48(3)]</w:t>
      </w:r>
    </w:p>
    <w:p w14:paraId="0B5A6020" w14:textId="77777777" w:rsidR="0016134B" w:rsidRPr="00E97DB0" w:rsidRDefault="0016134B" w:rsidP="0016134B">
      <w:pPr>
        <w:pStyle w:val="base-text-paragraph"/>
        <w:numPr>
          <w:ilvl w:val="1"/>
          <w:numId w:val="44"/>
        </w:numPr>
      </w:pPr>
      <w:r w:rsidRPr="00E97DB0">
        <w:t xml:space="preserve">To the extent that assets and expenditure relate solely to a particular class of </w:t>
      </w:r>
      <w:r>
        <w:t>membership interests</w:t>
      </w:r>
      <w:r w:rsidRPr="00E97DB0">
        <w:t xml:space="preserve">, the assessable income and deductions relating to that class will need to be identified by reference to the assets supporting that class. </w:t>
      </w:r>
    </w:p>
    <w:p w14:paraId="25266698" w14:textId="77777777" w:rsidR="0016134B" w:rsidRPr="00E97DB0" w:rsidRDefault="0016134B" w:rsidP="0016134B">
      <w:pPr>
        <w:pStyle w:val="base-text-paragraph"/>
        <w:numPr>
          <w:ilvl w:val="1"/>
          <w:numId w:val="44"/>
        </w:numPr>
      </w:pPr>
      <w:r w:rsidRPr="00E97DB0">
        <w:t xml:space="preserve">To the extent that assets and expenditure relate to more than one class of </w:t>
      </w:r>
      <w:r>
        <w:t xml:space="preserve">membership interests, </w:t>
      </w:r>
      <w:r w:rsidRPr="00E97DB0">
        <w:t>the related assessable income and deductions must be allocated to each class on a fair and reasonable basis.</w:t>
      </w:r>
    </w:p>
    <w:p w14:paraId="5BFF89D3" w14:textId="532D4FB6" w:rsidR="0016134B" w:rsidRDefault="00EB74CC" w:rsidP="0016134B">
      <w:pPr>
        <w:pStyle w:val="Heading3"/>
      </w:pPr>
      <w:r>
        <w:t xml:space="preserve">Modification to the </w:t>
      </w:r>
      <w:r w:rsidR="0016134B">
        <w:t>C</w:t>
      </w:r>
      <w:r>
        <w:t>GT rules for A</w:t>
      </w:r>
      <w:r w:rsidR="00C4340E">
        <w:t>SF</w:t>
      </w:r>
      <w:r>
        <w:t>s</w:t>
      </w:r>
    </w:p>
    <w:p w14:paraId="061F4317" w14:textId="37965FB2" w:rsidR="00EB74CC" w:rsidRPr="00EB74CC" w:rsidRDefault="00EB74CC" w:rsidP="00EB74CC">
      <w:pPr>
        <w:pStyle w:val="base-text-paragraph"/>
      </w:pPr>
      <w:r>
        <w:t xml:space="preserve">The amendments in </w:t>
      </w:r>
      <w:r w:rsidRPr="00BF3D02">
        <w:t xml:space="preserve">Schedule </w:t>
      </w:r>
      <w:r>
        <w:t>4</w:t>
      </w:r>
      <w:r w:rsidRPr="00BF3D02">
        <w:t xml:space="preserve"> to th</w:t>
      </w:r>
      <w:r>
        <w:t>e</w:t>
      </w:r>
      <w:r w:rsidRPr="00BF3D02">
        <w:t xml:space="preserve"> </w:t>
      </w:r>
      <w:r>
        <w:t xml:space="preserve">Exposure Draft </w:t>
      </w:r>
      <w:r w:rsidRPr="00BF3D02">
        <w:t>Bill</w:t>
      </w:r>
      <w:r>
        <w:t xml:space="preserve"> modify the CGT rules for ASFs.</w:t>
      </w:r>
    </w:p>
    <w:p w14:paraId="4FD1D102" w14:textId="77777777" w:rsidR="0016134B" w:rsidRPr="0041594E" w:rsidRDefault="0016134B" w:rsidP="0016134B">
      <w:pPr>
        <w:pStyle w:val="Heading4"/>
      </w:pPr>
      <w:r>
        <w:t>Discount capital gains calculation not applicable</w:t>
      </w:r>
    </w:p>
    <w:p w14:paraId="3F4C0D59" w14:textId="1FA01947" w:rsidR="0016134B" w:rsidRDefault="0016134B" w:rsidP="0016134B">
      <w:pPr>
        <w:pStyle w:val="base-text-paragraph"/>
        <w:numPr>
          <w:ilvl w:val="1"/>
          <w:numId w:val="44"/>
        </w:numPr>
        <w:rPr>
          <w:color w:val="000000" w:themeColor="text1"/>
        </w:rPr>
      </w:pPr>
      <w:r>
        <w:rPr>
          <w:color w:val="000000" w:themeColor="text1"/>
          <w:lang w:eastAsia="en-US"/>
        </w:rPr>
        <w:t xml:space="preserve">Consistent with the operation of the CGT discount capital gains rules that apply to companies, </w:t>
      </w:r>
      <w:r w:rsidRPr="00FB106D">
        <w:rPr>
          <w:color w:val="000000" w:themeColor="text1"/>
          <w:lang w:eastAsia="en-US"/>
        </w:rPr>
        <w:t>A</w:t>
      </w:r>
      <w:r w:rsidR="008651FD">
        <w:rPr>
          <w:color w:val="000000" w:themeColor="text1"/>
          <w:lang w:eastAsia="en-US"/>
        </w:rPr>
        <w:t>SFs of a CCIV</w:t>
      </w:r>
      <w:r w:rsidRPr="00FB106D">
        <w:rPr>
          <w:color w:val="000000" w:themeColor="text1"/>
          <w:lang w:eastAsia="en-US"/>
        </w:rPr>
        <w:t xml:space="preserve"> are not entitled to discount capital gain</w:t>
      </w:r>
      <w:r>
        <w:rPr>
          <w:color w:val="000000" w:themeColor="text1"/>
          <w:lang w:eastAsia="en-US"/>
        </w:rPr>
        <w:t>s that they make when working out their taxable income</w:t>
      </w:r>
      <w:r w:rsidRPr="00FB106D">
        <w:rPr>
          <w:color w:val="000000" w:themeColor="text1"/>
        </w:rPr>
        <w:t xml:space="preserve">. </w:t>
      </w:r>
      <w:r w:rsidR="00F61048">
        <w:rPr>
          <w:color w:val="000000" w:themeColor="text1"/>
        </w:rPr>
        <w:t>This is also consistent with the Government’s 2018-19 Budget measure to remove the CGT discount at the trust level for MITs and AMITs.</w:t>
      </w:r>
    </w:p>
    <w:p w14:paraId="63A8DE14" w14:textId="5E6E46A8" w:rsidR="0016134B" w:rsidRPr="00FB106D" w:rsidRDefault="0016134B" w:rsidP="0016134B">
      <w:pPr>
        <w:pStyle w:val="base-text-paragraph"/>
        <w:numPr>
          <w:ilvl w:val="1"/>
          <w:numId w:val="44"/>
        </w:numPr>
        <w:rPr>
          <w:color w:val="000000" w:themeColor="text1"/>
        </w:rPr>
      </w:pPr>
      <w:r>
        <w:rPr>
          <w:color w:val="000000" w:themeColor="text1"/>
        </w:rPr>
        <w:t>However, if an A</w:t>
      </w:r>
      <w:r w:rsidR="008651FD">
        <w:rPr>
          <w:color w:val="000000" w:themeColor="text1"/>
        </w:rPr>
        <w:t>SF</w:t>
      </w:r>
      <w:r>
        <w:rPr>
          <w:color w:val="000000" w:themeColor="text1"/>
        </w:rPr>
        <w:t xml:space="preserve"> receives an amount that meets the conditions to qualify for a discount capital gain, the amount will retain that tax character as it flows through the A</w:t>
      </w:r>
      <w:r w:rsidR="008651FD">
        <w:rPr>
          <w:color w:val="000000" w:themeColor="text1"/>
        </w:rPr>
        <w:t>SF</w:t>
      </w:r>
      <w:r>
        <w:rPr>
          <w:color w:val="000000" w:themeColor="text1"/>
        </w:rPr>
        <w:t xml:space="preserve"> to its members. If the member who receives the amount is entitled to discount capital gains, the member will be able to apply the discount to the capital gain when working out their </w:t>
      </w:r>
      <w:r w:rsidR="005937DC">
        <w:rPr>
          <w:color w:val="000000" w:themeColor="text1"/>
        </w:rPr>
        <w:t>net capital gain</w:t>
      </w:r>
      <w:r>
        <w:rPr>
          <w:color w:val="000000" w:themeColor="text1"/>
        </w:rPr>
        <w:t>.</w:t>
      </w:r>
    </w:p>
    <w:p w14:paraId="605CA1CB" w14:textId="7A61705D" w:rsidR="0016134B" w:rsidRPr="00AD23A9" w:rsidRDefault="0016134B" w:rsidP="0016134B">
      <w:pPr>
        <w:pStyle w:val="Heading4"/>
      </w:pPr>
      <w:r w:rsidRPr="00AD23A9">
        <w:t>Deemed capital account t</w:t>
      </w:r>
      <w:r>
        <w:t>reatment</w:t>
      </w:r>
      <w:r w:rsidR="00EA0618">
        <w:t xml:space="preserve"> </w:t>
      </w:r>
    </w:p>
    <w:p w14:paraId="5CB7E49A" w14:textId="4C3D89D6" w:rsidR="0016134B" w:rsidRDefault="0016134B" w:rsidP="0016134B">
      <w:pPr>
        <w:pStyle w:val="base-text-paragraph"/>
        <w:numPr>
          <w:ilvl w:val="1"/>
          <w:numId w:val="44"/>
        </w:numPr>
      </w:pPr>
      <w:r>
        <w:t>The amendments allow AIVs including an eligible A</w:t>
      </w:r>
      <w:r w:rsidR="00C4340E">
        <w:t>SF</w:t>
      </w:r>
      <w:r>
        <w:t xml:space="preserve"> to </w:t>
      </w:r>
      <w:r w:rsidR="00C4340E">
        <w:t xml:space="preserve">have </w:t>
      </w:r>
      <w:r>
        <w:t xml:space="preserve">deemed capital account treatment for certain assets </w:t>
      </w:r>
      <w:r w:rsidR="005937DC">
        <w:t>allocated to</w:t>
      </w:r>
      <w:r>
        <w:t xml:space="preserve"> the A</w:t>
      </w:r>
      <w:r w:rsidR="00C4340E">
        <w:t>SF</w:t>
      </w:r>
      <w:r w:rsidR="005656E9">
        <w:t xml:space="preserve"> (</w:t>
      </w:r>
      <w:r>
        <w:t xml:space="preserve">new </w:t>
      </w:r>
      <w:r w:rsidR="00EB74CC">
        <w:t>S</w:t>
      </w:r>
      <w:r>
        <w:t>ubdivision 276-JA</w:t>
      </w:r>
      <w:r w:rsidR="005656E9">
        <w:t>)</w:t>
      </w:r>
      <w:r>
        <w:t>.</w:t>
      </w:r>
      <w:r w:rsidR="00EA0618">
        <w:t xml:space="preserve"> </w:t>
      </w:r>
    </w:p>
    <w:p w14:paraId="15C9CB74" w14:textId="423E9302" w:rsidR="0016134B" w:rsidRDefault="0016134B" w:rsidP="0016134B">
      <w:pPr>
        <w:pStyle w:val="base-text-paragraph"/>
        <w:numPr>
          <w:ilvl w:val="1"/>
          <w:numId w:val="44"/>
        </w:numPr>
      </w:pPr>
      <w:r>
        <w:t xml:space="preserve">The CCIV </w:t>
      </w:r>
      <w:r w:rsidRPr="00C02CCF">
        <w:t>can elect to apply the CGT provisions to gains and losses made on the disposal of certain assets</w:t>
      </w:r>
      <w:r w:rsidR="0032314B">
        <w:t>.</w:t>
      </w:r>
      <w:r w:rsidRPr="00C02CCF">
        <w:t xml:space="preserve"> </w:t>
      </w:r>
      <w:r>
        <w:t xml:space="preserve">The amendments broadly replicate the </w:t>
      </w:r>
      <w:r w:rsidR="005656E9">
        <w:t>existing rules for MITs (</w:t>
      </w:r>
      <w:r w:rsidR="00EA0618">
        <w:t>S</w:t>
      </w:r>
      <w:r>
        <w:t xml:space="preserve">ubdivision 275-B) for AIVs. </w:t>
      </w:r>
      <w:r w:rsidR="002B0225">
        <w:rPr>
          <w:rStyle w:val="Referencingstyle"/>
        </w:rPr>
        <w:t xml:space="preserve">[Schedule 4, item </w:t>
      </w:r>
      <w:r w:rsidR="00AD7082">
        <w:rPr>
          <w:rStyle w:val="Referencingstyle"/>
        </w:rPr>
        <w:t>9</w:t>
      </w:r>
      <w:r w:rsidRPr="00BF3D02">
        <w:rPr>
          <w:rStyle w:val="Referencingstyle"/>
        </w:rPr>
        <w:t xml:space="preserve">, </w:t>
      </w:r>
      <w:r>
        <w:rPr>
          <w:rStyle w:val="Referencingstyle"/>
        </w:rPr>
        <w:t>sections 276-600 to 276-620]</w:t>
      </w:r>
    </w:p>
    <w:p w14:paraId="798EDD01" w14:textId="462FDA19" w:rsidR="0016134B" w:rsidRDefault="005656E9" w:rsidP="0016134B">
      <w:pPr>
        <w:pStyle w:val="base-text-paragraph"/>
        <w:numPr>
          <w:ilvl w:val="1"/>
          <w:numId w:val="44"/>
        </w:numPr>
      </w:pPr>
      <w:r>
        <w:t xml:space="preserve">As with the </w:t>
      </w:r>
      <w:r w:rsidR="0016134B">
        <w:t xml:space="preserve">MIT rules, the election must be made in the first year that the </w:t>
      </w:r>
      <w:r w:rsidR="00C4340E">
        <w:t xml:space="preserve">sub-fund </w:t>
      </w:r>
      <w:r w:rsidR="0016134B">
        <w:t>qualifies as an A</w:t>
      </w:r>
      <w:r w:rsidR="00C4340E">
        <w:t>SF</w:t>
      </w:r>
      <w:r w:rsidR="0016134B">
        <w:t xml:space="preserve">. This election is irrevocable. If the </w:t>
      </w:r>
      <w:r w:rsidR="00C4340E">
        <w:t>CCIV</w:t>
      </w:r>
      <w:r w:rsidR="0016134B">
        <w:t xml:space="preserve"> does not make a capital account treatment election</w:t>
      </w:r>
      <w:r w:rsidR="00C4340E">
        <w:t xml:space="preserve"> in respect of the ASF</w:t>
      </w:r>
      <w:r w:rsidR="0016134B">
        <w:t xml:space="preserve">, it will </w:t>
      </w:r>
      <w:r w:rsidR="00EB74CC">
        <w:t xml:space="preserve">generally </w:t>
      </w:r>
      <w:r w:rsidR="0016134B">
        <w:t xml:space="preserve">be taxed on revenue account. </w:t>
      </w:r>
      <w:r w:rsidR="00AD7082">
        <w:rPr>
          <w:rStyle w:val="Referencingstyle"/>
        </w:rPr>
        <w:t>[Schedule 4, item 9</w:t>
      </w:r>
      <w:r w:rsidR="0016134B" w:rsidRPr="007C216B">
        <w:rPr>
          <w:rStyle w:val="Referencingstyle"/>
        </w:rPr>
        <w:t>, sections</w:t>
      </w:r>
      <w:r w:rsidR="009737E1">
        <w:rPr>
          <w:rStyle w:val="Referencingstyle"/>
        </w:rPr>
        <w:t> </w:t>
      </w:r>
      <w:r w:rsidR="0016134B" w:rsidRPr="007C216B">
        <w:rPr>
          <w:rStyle w:val="Referencingstyle"/>
        </w:rPr>
        <w:t>276-615 and 276-620]</w:t>
      </w:r>
    </w:p>
    <w:p w14:paraId="78C17495" w14:textId="279059E2" w:rsidR="0016134B" w:rsidRPr="00BF3D02" w:rsidRDefault="002230D0" w:rsidP="0016134B">
      <w:pPr>
        <w:pStyle w:val="Heading4"/>
      </w:pPr>
      <w:r>
        <w:lastRenderedPageBreak/>
        <w:t>C</w:t>
      </w:r>
      <w:r w:rsidR="0016134B" w:rsidRPr="00BF3D02">
        <w:t>ost base adjustment</w:t>
      </w:r>
      <w:r w:rsidR="0016134B">
        <w:t>s</w:t>
      </w:r>
      <w:r>
        <w:t xml:space="preserve"> for membership interests</w:t>
      </w:r>
    </w:p>
    <w:p w14:paraId="18EBD763" w14:textId="535B6BF8" w:rsidR="002230D0" w:rsidRPr="00B427FB" w:rsidRDefault="002230D0" w:rsidP="0016134B">
      <w:pPr>
        <w:pStyle w:val="base-text-paragraph"/>
        <w:numPr>
          <w:ilvl w:val="1"/>
          <w:numId w:val="44"/>
        </w:numPr>
        <w:rPr>
          <w:rStyle w:val="Referencingstyle"/>
          <w:b w:val="0"/>
          <w:i w:val="0"/>
          <w:sz w:val="22"/>
        </w:rPr>
      </w:pPr>
      <w:r>
        <w:t xml:space="preserve">If a non-assessable payment is made by a CCIV in respect </w:t>
      </w:r>
      <w:r w:rsidR="00C716F6">
        <w:t>of</w:t>
      </w:r>
      <w:r>
        <w:t xml:space="preserve"> an ASF to members </w:t>
      </w:r>
      <w:r w:rsidR="0032314B">
        <w:t>o</w:t>
      </w:r>
      <w:r>
        <w:t xml:space="preserve">f </w:t>
      </w:r>
      <w:r w:rsidR="0032314B">
        <w:t>that</w:t>
      </w:r>
      <w:r>
        <w:t xml:space="preserve"> ASF, adjustments are made to the cost base or reduced cost base of the membership interests. </w:t>
      </w:r>
      <w:r w:rsidR="00CF6E58">
        <w:rPr>
          <w:rStyle w:val="Referencingstyle"/>
        </w:rPr>
        <w:t>[Schedule 4, item 8</w:t>
      </w:r>
      <w:r w:rsidRPr="00BF3D02">
        <w:rPr>
          <w:rStyle w:val="Referencingstyle"/>
        </w:rPr>
        <w:t xml:space="preserve">, </w:t>
      </w:r>
      <w:r>
        <w:rPr>
          <w:rStyle w:val="Referencingstyle"/>
        </w:rPr>
        <w:t>sections 104-600 and 104-605]</w:t>
      </w:r>
    </w:p>
    <w:p w14:paraId="072282B2" w14:textId="1D095A37" w:rsidR="0016134B" w:rsidRDefault="0016134B" w:rsidP="0016134B">
      <w:pPr>
        <w:pStyle w:val="base-text-paragraph"/>
        <w:numPr>
          <w:ilvl w:val="1"/>
          <w:numId w:val="44"/>
        </w:numPr>
      </w:pPr>
      <w:r>
        <w:t xml:space="preserve">The CCIV </w:t>
      </w:r>
      <w:r w:rsidR="002230D0">
        <w:t xml:space="preserve">must </w:t>
      </w:r>
      <w:r>
        <w:t>calculate a</w:t>
      </w:r>
      <w:r w:rsidR="003C5F51">
        <w:t>n</w:t>
      </w:r>
      <w:r>
        <w:t xml:space="preserve"> ‘</w:t>
      </w:r>
      <w:r w:rsidR="00363615">
        <w:t xml:space="preserve">AIV </w:t>
      </w:r>
      <w:r w:rsidRPr="00C2086D">
        <w:t>cost base net amount</w:t>
      </w:r>
      <w:r>
        <w:t>’</w:t>
      </w:r>
      <w:r w:rsidRPr="00C2086D">
        <w:t xml:space="preserve">, </w:t>
      </w:r>
      <w:r>
        <w:t xml:space="preserve">which </w:t>
      </w:r>
      <w:r w:rsidR="002230D0">
        <w:t>is</w:t>
      </w:r>
      <w:r>
        <w:t xml:space="preserve"> specified in the AIV</w:t>
      </w:r>
      <w:r w:rsidRPr="00C2086D">
        <w:t>MA statement</w:t>
      </w:r>
      <w:r>
        <w:t xml:space="preserve"> provided to members. This amount </w:t>
      </w:r>
      <w:r w:rsidR="002230D0">
        <w:t>is</w:t>
      </w:r>
      <w:r w:rsidRPr="00C2086D">
        <w:t xml:space="preserve"> the </w:t>
      </w:r>
      <w:r w:rsidR="002230D0">
        <w:t>difference between</w:t>
      </w:r>
      <w:r w:rsidRPr="00C2086D">
        <w:t xml:space="preserve"> </w:t>
      </w:r>
      <w:r>
        <w:t>the member’s</w:t>
      </w:r>
      <w:r w:rsidRPr="00C2086D">
        <w:t xml:space="preserve"> </w:t>
      </w:r>
      <w:r w:rsidR="00363615">
        <w:t xml:space="preserve">AIV </w:t>
      </w:r>
      <w:r w:rsidRPr="00C2086D">
        <w:t>cost base reduction amount and</w:t>
      </w:r>
      <w:r>
        <w:t xml:space="preserve"> </w:t>
      </w:r>
      <w:r w:rsidR="00363615">
        <w:t xml:space="preserve">AIV </w:t>
      </w:r>
      <w:r>
        <w:t>cost base increase amount.</w:t>
      </w:r>
      <w:r w:rsidRPr="008231EC">
        <w:rPr>
          <w:rStyle w:val="Referencingstyle"/>
        </w:rPr>
        <w:t xml:space="preserve"> </w:t>
      </w:r>
      <w:r w:rsidR="00CF6E58">
        <w:rPr>
          <w:rStyle w:val="Referencingstyle"/>
        </w:rPr>
        <w:t>[Schedule 4, item 8,</w:t>
      </w:r>
      <w:r w:rsidRPr="00BF3D02">
        <w:rPr>
          <w:rStyle w:val="Referencingstyle"/>
        </w:rPr>
        <w:t xml:space="preserve"> </w:t>
      </w:r>
      <w:r w:rsidR="00B26BCA">
        <w:rPr>
          <w:rStyle w:val="Referencingstyle"/>
        </w:rPr>
        <w:t>sections 104-610 to 104</w:t>
      </w:r>
      <w:r w:rsidR="00B26BCA">
        <w:rPr>
          <w:rStyle w:val="Referencingstyle"/>
        </w:rPr>
        <w:noBreakHyphen/>
      </w:r>
      <w:r>
        <w:rPr>
          <w:rStyle w:val="Referencingstyle"/>
        </w:rPr>
        <w:t>620]</w:t>
      </w:r>
    </w:p>
    <w:p w14:paraId="1406D413" w14:textId="6B018E21" w:rsidR="005656E9" w:rsidRDefault="002230D0" w:rsidP="0016134B">
      <w:pPr>
        <w:pStyle w:val="base-text-paragraph"/>
        <w:numPr>
          <w:ilvl w:val="1"/>
          <w:numId w:val="44"/>
        </w:numPr>
      </w:pPr>
      <w:r>
        <w:t>If</w:t>
      </w:r>
      <w:r w:rsidRPr="00C2086D">
        <w:t xml:space="preserve"> </w:t>
      </w:r>
      <w:r w:rsidR="0016134B" w:rsidRPr="00C2086D">
        <w:t xml:space="preserve">the </w:t>
      </w:r>
      <w:r w:rsidR="00363615">
        <w:t xml:space="preserve">AIV </w:t>
      </w:r>
      <w:r w:rsidR="0016134B" w:rsidRPr="00C2086D">
        <w:t xml:space="preserve">cost base reduction amount exceeds the </w:t>
      </w:r>
      <w:r w:rsidR="00363615">
        <w:t xml:space="preserve">AIV </w:t>
      </w:r>
      <w:r w:rsidR="0016134B" w:rsidRPr="00C2086D">
        <w:t xml:space="preserve">cost base increase amount, the resulting </w:t>
      </w:r>
      <w:r w:rsidR="00363615">
        <w:t xml:space="preserve">AIV </w:t>
      </w:r>
      <w:r w:rsidR="0016134B" w:rsidRPr="00C2086D">
        <w:t xml:space="preserve">cost base net amount reduces </w:t>
      </w:r>
      <w:r w:rsidR="0016134B">
        <w:t xml:space="preserve">the </w:t>
      </w:r>
      <w:r w:rsidR="0016134B" w:rsidRPr="00C2086D">
        <w:t>cost base or reduced cost base</w:t>
      </w:r>
      <w:r w:rsidR="0016134B">
        <w:t xml:space="preserve"> of the share</w:t>
      </w:r>
      <w:r w:rsidR="0016134B" w:rsidRPr="00C2086D">
        <w:t xml:space="preserve">. </w:t>
      </w:r>
      <w:r w:rsidR="005656E9">
        <w:rPr>
          <w:rStyle w:val="Referencingstyle"/>
        </w:rPr>
        <w:t>[Schedule 4, item 8</w:t>
      </w:r>
      <w:r w:rsidR="005656E9" w:rsidRPr="00BF3D02">
        <w:rPr>
          <w:rStyle w:val="Referencingstyle"/>
        </w:rPr>
        <w:t xml:space="preserve">, </w:t>
      </w:r>
      <w:r w:rsidR="005656E9">
        <w:rPr>
          <w:rStyle w:val="Referencingstyle"/>
        </w:rPr>
        <w:t>section 104</w:t>
      </w:r>
      <w:r w:rsidR="005656E9">
        <w:rPr>
          <w:rStyle w:val="Referencingstyle"/>
        </w:rPr>
        <w:noBreakHyphen/>
        <w:t>600]</w:t>
      </w:r>
    </w:p>
    <w:p w14:paraId="51FC8D40" w14:textId="53E668C7" w:rsidR="0016134B" w:rsidRDefault="0016134B" w:rsidP="0016134B">
      <w:pPr>
        <w:pStyle w:val="base-text-paragraph"/>
        <w:numPr>
          <w:ilvl w:val="1"/>
          <w:numId w:val="44"/>
        </w:numPr>
      </w:pPr>
      <w:r w:rsidRPr="00C2086D">
        <w:t xml:space="preserve">If the </w:t>
      </w:r>
      <w:r w:rsidR="00363615">
        <w:t xml:space="preserve">AIV </w:t>
      </w:r>
      <w:r w:rsidR="002230D0" w:rsidRPr="00C2086D">
        <w:t xml:space="preserve">cost base </w:t>
      </w:r>
      <w:r w:rsidRPr="00C2086D">
        <w:t xml:space="preserve">net amount is greater than </w:t>
      </w:r>
      <w:r>
        <w:t xml:space="preserve">the </w:t>
      </w:r>
      <w:r w:rsidRPr="00C2086D">
        <w:t xml:space="preserve">cost base, </w:t>
      </w:r>
      <w:r>
        <w:t>the cost base of the shares will be reduced to</w:t>
      </w:r>
      <w:r w:rsidRPr="00C2086D">
        <w:t xml:space="preserve"> nil</w:t>
      </w:r>
      <w:r>
        <w:t>. A</w:t>
      </w:r>
      <w:r w:rsidRPr="00C2086D">
        <w:t>ny</w:t>
      </w:r>
      <w:r w:rsidRPr="00C2086D" w:rsidDel="00363615">
        <w:t xml:space="preserve"> </w:t>
      </w:r>
      <w:r w:rsidRPr="00C2086D">
        <w:t>excess will give rise to a capital g</w:t>
      </w:r>
      <w:r>
        <w:t xml:space="preserve">ain </w:t>
      </w:r>
      <w:r w:rsidR="00363615">
        <w:t>under</w:t>
      </w:r>
      <w:r>
        <w:t xml:space="preserve"> </w:t>
      </w:r>
      <w:r w:rsidR="00363615">
        <w:t>CGT event </w:t>
      </w:r>
      <w:r w:rsidRPr="00430375">
        <w:t>M1.</w:t>
      </w:r>
      <w:r>
        <w:t xml:space="preserve"> </w:t>
      </w:r>
      <w:r w:rsidR="00363615">
        <w:t>If</w:t>
      </w:r>
      <w:r>
        <w:t xml:space="preserve"> the cost base of the CGT asset was nil at the start of the income year, </w:t>
      </w:r>
      <w:r w:rsidR="00C60EAD">
        <w:t xml:space="preserve">a capital gain </w:t>
      </w:r>
      <w:r>
        <w:t xml:space="preserve">equal to the amount of the AIV cost base net amount </w:t>
      </w:r>
      <w:r w:rsidR="00C60EAD">
        <w:t xml:space="preserve">will arise </w:t>
      </w:r>
      <w:r>
        <w:t xml:space="preserve">for the income year. </w:t>
      </w:r>
      <w:r w:rsidR="00CF6E58">
        <w:rPr>
          <w:rStyle w:val="Referencingstyle"/>
        </w:rPr>
        <w:t>[Schedule 4, item 8</w:t>
      </w:r>
      <w:r w:rsidRPr="00BF3D02">
        <w:rPr>
          <w:rStyle w:val="Referencingstyle"/>
        </w:rPr>
        <w:t xml:space="preserve">, </w:t>
      </w:r>
      <w:r>
        <w:rPr>
          <w:rStyle w:val="Referencingstyle"/>
        </w:rPr>
        <w:t>section 104</w:t>
      </w:r>
      <w:r w:rsidR="00DB46E2">
        <w:rPr>
          <w:rStyle w:val="Referencingstyle"/>
        </w:rPr>
        <w:noBreakHyphen/>
      </w:r>
      <w:r>
        <w:rPr>
          <w:rStyle w:val="Referencingstyle"/>
        </w:rPr>
        <w:t>600]</w:t>
      </w:r>
    </w:p>
    <w:p w14:paraId="563308F4" w14:textId="2E75ACA7" w:rsidR="002230D0" w:rsidRDefault="00363615" w:rsidP="0016134B">
      <w:pPr>
        <w:pStyle w:val="base-text-paragraph"/>
        <w:numPr>
          <w:ilvl w:val="1"/>
          <w:numId w:val="44"/>
        </w:numPr>
      </w:pPr>
      <w:r>
        <w:t>N</w:t>
      </w:r>
      <w:r w:rsidR="002230D0">
        <w:t xml:space="preserve">ew </w:t>
      </w:r>
      <w:r w:rsidR="002230D0" w:rsidRPr="00A1233E">
        <w:t>CGT event M1</w:t>
      </w:r>
      <w:r w:rsidR="002230D0">
        <w:t xml:space="preserve"> will apply to all AIVs (</w:t>
      </w:r>
      <w:r>
        <w:t xml:space="preserve">that is, </w:t>
      </w:r>
      <w:r w:rsidR="002230D0">
        <w:t xml:space="preserve">both AMITs and ASFs) and replaces CGT event E10 (which currently applies only </w:t>
      </w:r>
      <w:r>
        <w:t xml:space="preserve">to </w:t>
      </w:r>
      <w:r w:rsidR="002230D0">
        <w:t>AMITs).</w:t>
      </w:r>
    </w:p>
    <w:p w14:paraId="4F88C5C3" w14:textId="16BC3400" w:rsidR="002230D0" w:rsidRPr="00BB0C16" w:rsidRDefault="002230D0" w:rsidP="002230D0">
      <w:pPr>
        <w:pStyle w:val="base-text-paragraph"/>
        <w:numPr>
          <w:ilvl w:val="1"/>
          <w:numId w:val="44"/>
        </w:numPr>
        <w:rPr>
          <w:rStyle w:val="Referencingstyle"/>
          <w:b w:val="0"/>
          <w:i w:val="0"/>
          <w:sz w:val="22"/>
        </w:rPr>
      </w:pPr>
      <w:r>
        <w:t>This new CGT event broadly replicates CGT event E10. However, it adapts th</w:t>
      </w:r>
      <w:r w:rsidR="00C60EAD">
        <w:t xml:space="preserve">e provisions to account for </w:t>
      </w:r>
      <w:r>
        <w:t>ASFs of a CCIV. For an AMIT, CGT event M1 will apply and operate in the same way as CGT</w:t>
      </w:r>
      <w:r w:rsidR="00363615">
        <w:t> </w:t>
      </w:r>
      <w:r>
        <w:t>event E10 did previously.</w:t>
      </w:r>
      <w:r w:rsidRPr="00560922">
        <w:rPr>
          <w:rStyle w:val="Referencingstyle"/>
        </w:rPr>
        <w:t xml:space="preserve"> </w:t>
      </w:r>
      <w:r w:rsidR="00CF6E58">
        <w:rPr>
          <w:rStyle w:val="Referencingstyle"/>
        </w:rPr>
        <w:t>[Schedule 4, item 8</w:t>
      </w:r>
      <w:r w:rsidRPr="00BF3D02">
        <w:rPr>
          <w:rStyle w:val="Referencingstyle"/>
        </w:rPr>
        <w:t xml:space="preserve">, </w:t>
      </w:r>
      <w:r>
        <w:rPr>
          <w:rStyle w:val="Referencingstyle"/>
        </w:rPr>
        <w:t>sections 104-600 to 104</w:t>
      </w:r>
      <w:r>
        <w:rPr>
          <w:rStyle w:val="Referencingstyle"/>
        </w:rPr>
        <w:noBreakHyphen/>
        <w:t>635]</w:t>
      </w:r>
    </w:p>
    <w:p w14:paraId="60C3BEFE" w14:textId="4F055698" w:rsidR="0016134B" w:rsidRPr="00C2711F" w:rsidRDefault="0016134B" w:rsidP="0016134B">
      <w:pPr>
        <w:pStyle w:val="base-text-paragraph"/>
        <w:numPr>
          <w:ilvl w:val="1"/>
          <w:numId w:val="44"/>
        </w:numPr>
        <w:rPr>
          <w:rStyle w:val="Referencingstyle"/>
          <w:b w:val="0"/>
          <w:i w:val="0"/>
          <w:sz w:val="22"/>
        </w:rPr>
      </w:pPr>
      <w:r>
        <w:t xml:space="preserve">A number of </w:t>
      </w:r>
      <w:r w:rsidR="00C37153">
        <w:t xml:space="preserve">consequential </w:t>
      </w:r>
      <w:r>
        <w:t xml:space="preserve">amendments </w:t>
      </w:r>
      <w:r w:rsidR="00EB74CC">
        <w:t>are</w:t>
      </w:r>
      <w:r>
        <w:t xml:space="preserve"> made </w:t>
      </w:r>
      <w:r w:rsidR="00EB74CC">
        <w:t>to reflect</w:t>
      </w:r>
      <w:r w:rsidR="00C37153">
        <w:t xml:space="preserve"> </w:t>
      </w:r>
      <w:r>
        <w:t>the</w:t>
      </w:r>
      <w:r w:rsidR="00C37153" w:rsidDel="00C37153">
        <w:t xml:space="preserve"> </w:t>
      </w:r>
      <w:r w:rsidR="00C37153">
        <w:t>removal of CGT Event E10 and its replacement with CGT </w:t>
      </w:r>
      <w:r>
        <w:t>event</w:t>
      </w:r>
      <w:r w:rsidR="00C37153">
        <w:t> </w:t>
      </w:r>
      <w:r>
        <w:t xml:space="preserve">M1. For example, </w:t>
      </w:r>
      <w:r w:rsidR="00C37153">
        <w:t xml:space="preserve">consequential amendments </w:t>
      </w:r>
      <w:r>
        <w:t xml:space="preserve">ensure that CGT events E4 and G1 do not apply to AIVs. </w:t>
      </w:r>
      <w:r w:rsidR="00CF6E58">
        <w:rPr>
          <w:rStyle w:val="Referencingstyle"/>
        </w:rPr>
        <w:t>[Schedule 4, items 1 to 7</w:t>
      </w:r>
      <w:r w:rsidRPr="00BF3D02">
        <w:rPr>
          <w:rStyle w:val="Referencingstyle"/>
        </w:rPr>
        <w:t xml:space="preserve">, </w:t>
      </w:r>
      <w:r w:rsidR="00C37153">
        <w:rPr>
          <w:rStyle w:val="Referencingstyle"/>
        </w:rPr>
        <w:t>sections </w:t>
      </w:r>
      <w:r>
        <w:rPr>
          <w:rStyle w:val="Referencingstyle"/>
        </w:rPr>
        <w:t>70-10, 104-5, 10</w:t>
      </w:r>
      <w:r w:rsidR="00C37153">
        <w:rPr>
          <w:rStyle w:val="Referencingstyle"/>
        </w:rPr>
        <w:t>4-70, 104</w:t>
      </w:r>
      <w:r w:rsidR="00DB46E2">
        <w:rPr>
          <w:rStyle w:val="Referencingstyle"/>
        </w:rPr>
        <w:noBreakHyphen/>
      </w:r>
      <w:r w:rsidR="00C37153">
        <w:rPr>
          <w:rStyle w:val="Referencingstyle"/>
        </w:rPr>
        <w:t>107A to 104-107H, and </w:t>
      </w:r>
      <w:r>
        <w:rPr>
          <w:rStyle w:val="Referencingstyle"/>
        </w:rPr>
        <w:t>104-135]</w:t>
      </w:r>
    </w:p>
    <w:p w14:paraId="549EF8C4" w14:textId="50E307A5" w:rsidR="00C2711F" w:rsidRDefault="00C37153" w:rsidP="00C2711F">
      <w:pPr>
        <w:pStyle w:val="Heading3"/>
      </w:pPr>
      <w:r>
        <w:t>Prior year</w:t>
      </w:r>
      <w:r w:rsidR="00C2711F">
        <w:t xml:space="preserve"> </w:t>
      </w:r>
      <w:r>
        <w:t xml:space="preserve">tax </w:t>
      </w:r>
      <w:r w:rsidR="00C2711F">
        <w:t>loss</w:t>
      </w:r>
      <w:r>
        <w:t>es</w:t>
      </w:r>
      <w:r w:rsidR="00C2711F" w:rsidDel="00C37153">
        <w:t xml:space="preserve"> </w:t>
      </w:r>
    </w:p>
    <w:p w14:paraId="423631B0" w14:textId="643E9528" w:rsidR="00C2711F" w:rsidRPr="00C2711F" w:rsidRDefault="005656E9" w:rsidP="00394758">
      <w:pPr>
        <w:pStyle w:val="base-text-paragraph"/>
      </w:pPr>
      <w:r>
        <w:t>As a</w:t>
      </w:r>
      <w:r w:rsidR="00257EDD">
        <w:t xml:space="preserve"> CCIV is a company and </w:t>
      </w:r>
      <w:r w:rsidR="005C4C35">
        <w:t>each sub</w:t>
      </w:r>
      <w:r w:rsidR="005C4C35">
        <w:noBreakHyphen/>
        <w:t xml:space="preserve">fund is taken to be a </w:t>
      </w:r>
      <w:r w:rsidR="00257EDD">
        <w:t>separate company,</w:t>
      </w:r>
      <w:r w:rsidR="00D178C4">
        <w:t xml:space="preserve"> the </w:t>
      </w:r>
      <w:r w:rsidR="00C37153">
        <w:t xml:space="preserve">company tax </w:t>
      </w:r>
      <w:r w:rsidR="00D178C4">
        <w:t xml:space="preserve">loss rules </w:t>
      </w:r>
      <w:r w:rsidR="000C228B">
        <w:t xml:space="preserve">(with a modification) </w:t>
      </w:r>
      <w:r w:rsidR="00257EDD">
        <w:t>will apply</w:t>
      </w:r>
      <w:r w:rsidR="00C37153">
        <w:t xml:space="preserve"> to determine the deductibility of prior year tax losses</w:t>
      </w:r>
      <w:r w:rsidR="00DE48F3">
        <w:t>.</w:t>
      </w:r>
    </w:p>
    <w:p w14:paraId="69C55F58" w14:textId="53781EF0" w:rsidR="000C228B" w:rsidRPr="000C228B" w:rsidRDefault="000C228B" w:rsidP="00712676">
      <w:pPr>
        <w:pStyle w:val="base-text-paragraph"/>
      </w:pPr>
      <w:r>
        <w:t xml:space="preserve">Generally, a company is able to deduct prior year tax losses if it satisfies the continuity of ownership test or the business </w:t>
      </w:r>
      <w:r w:rsidR="008465C0" w:rsidRPr="003C5F51">
        <w:t>continuity</w:t>
      </w:r>
      <w:r w:rsidR="008465C0">
        <w:t xml:space="preserve"> </w:t>
      </w:r>
      <w:r>
        <w:t xml:space="preserve">test. </w:t>
      </w:r>
    </w:p>
    <w:p w14:paraId="54E291AA" w14:textId="14EDEA61" w:rsidR="000C228B" w:rsidRDefault="006E7F4A" w:rsidP="00712676">
      <w:pPr>
        <w:pStyle w:val="base-text-paragraph"/>
      </w:pPr>
      <w:r w:rsidRPr="00BF3D02">
        <w:t xml:space="preserve">Schedule </w:t>
      </w:r>
      <w:r>
        <w:t>3</w:t>
      </w:r>
      <w:r w:rsidRPr="00BF3D02">
        <w:t xml:space="preserve"> to th</w:t>
      </w:r>
      <w:r>
        <w:t>e</w:t>
      </w:r>
      <w:r w:rsidRPr="00BF3D02">
        <w:t xml:space="preserve"> </w:t>
      </w:r>
      <w:r>
        <w:t xml:space="preserve">Exposure Draft </w:t>
      </w:r>
      <w:r w:rsidRPr="00BF3D02">
        <w:t xml:space="preserve">Bill </w:t>
      </w:r>
      <w:r>
        <w:t>modifies t</w:t>
      </w:r>
      <w:r w:rsidR="000C228B">
        <w:t xml:space="preserve">he ordinary company tax loss rules so that </w:t>
      </w:r>
      <w:r w:rsidR="00824EE1">
        <w:t>each separate CCIV</w:t>
      </w:r>
      <w:r w:rsidR="00C37153">
        <w:t xml:space="preserve"> </w:t>
      </w:r>
      <w:r w:rsidR="00824EE1">
        <w:t>sub</w:t>
      </w:r>
      <w:r w:rsidR="00C37153">
        <w:noBreakHyphen/>
      </w:r>
      <w:r w:rsidR="00824EE1">
        <w:t xml:space="preserve">fund company </w:t>
      </w:r>
      <w:r w:rsidR="005C1ACD">
        <w:t>is taken to</w:t>
      </w:r>
      <w:r w:rsidR="00824EE1">
        <w:t xml:space="preserve"> not satisfy the business </w:t>
      </w:r>
      <w:r w:rsidR="008465C0" w:rsidRPr="003C5F51">
        <w:t>continuity</w:t>
      </w:r>
      <w:r w:rsidR="008465C0">
        <w:t xml:space="preserve"> </w:t>
      </w:r>
      <w:r w:rsidR="00824EE1">
        <w:t xml:space="preserve">test. </w:t>
      </w:r>
      <w:r w:rsidR="00745AEA">
        <w:rPr>
          <w:rStyle w:val="Referencingstyle"/>
        </w:rPr>
        <w:t>[Schedule 3, item 1</w:t>
      </w:r>
      <w:r w:rsidR="000C228B" w:rsidRPr="00F24D98">
        <w:rPr>
          <w:rStyle w:val="Referencingstyle"/>
        </w:rPr>
        <w:t xml:space="preserve">, </w:t>
      </w:r>
      <w:r w:rsidR="00745AEA">
        <w:rPr>
          <w:rStyle w:val="Referencingstyle"/>
        </w:rPr>
        <w:t>paragraph 195</w:t>
      </w:r>
      <w:r w:rsidR="00DB46E2">
        <w:rPr>
          <w:rStyle w:val="Referencingstyle"/>
        </w:rPr>
        <w:noBreakHyphen/>
      </w:r>
      <w:r w:rsidR="00745AEA">
        <w:rPr>
          <w:rStyle w:val="Referencingstyle"/>
        </w:rPr>
        <w:t>105</w:t>
      </w:r>
      <w:r w:rsidR="000C228B">
        <w:rPr>
          <w:rStyle w:val="Referencingstyle"/>
        </w:rPr>
        <w:t>(</w:t>
      </w:r>
      <w:r w:rsidR="00AD7082">
        <w:rPr>
          <w:rStyle w:val="Referencingstyle"/>
        </w:rPr>
        <w:t>4</w:t>
      </w:r>
      <w:r w:rsidR="000C228B">
        <w:rPr>
          <w:rStyle w:val="Referencingstyle"/>
        </w:rPr>
        <w:t>)</w:t>
      </w:r>
      <w:r w:rsidR="00532999">
        <w:rPr>
          <w:rStyle w:val="Referencingstyle"/>
        </w:rPr>
        <w:t>(a</w:t>
      </w:r>
      <w:r w:rsidR="00745AEA">
        <w:rPr>
          <w:rStyle w:val="Referencingstyle"/>
        </w:rPr>
        <w:t>)</w:t>
      </w:r>
      <w:r w:rsidR="000C228B">
        <w:rPr>
          <w:rStyle w:val="Referencingstyle"/>
        </w:rPr>
        <w:t>]</w:t>
      </w:r>
    </w:p>
    <w:p w14:paraId="3E62C111" w14:textId="4303950C" w:rsidR="00D178C4" w:rsidRPr="00D55D92" w:rsidRDefault="000C228B" w:rsidP="00712676">
      <w:pPr>
        <w:pStyle w:val="base-text-paragraph"/>
        <w:rPr>
          <w:rStyle w:val="Referencingstyle"/>
          <w:b w:val="0"/>
          <w:i w:val="0"/>
          <w:sz w:val="22"/>
        </w:rPr>
      </w:pPr>
      <w:r>
        <w:lastRenderedPageBreak/>
        <w:t>C</w:t>
      </w:r>
      <w:r w:rsidR="00B24B09">
        <w:t>onsequen</w:t>
      </w:r>
      <w:r>
        <w:t>tly</w:t>
      </w:r>
      <w:r w:rsidR="005C1ACD">
        <w:t>,</w:t>
      </w:r>
      <w:r w:rsidR="005C1ACD" w:rsidDel="000C228B">
        <w:t xml:space="preserve"> a</w:t>
      </w:r>
      <w:r w:rsidR="00B24B09" w:rsidDel="000C228B">
        <w:t xml:space="preserve"> </w:t>
      </w:r>
      <w:r w:rsidR="005C1ACD">
        <w:t xml:space="preserve">CCIV sub-fund company </w:t>
      </w:r>
      <w:r w:rsidR="00C37153">
        <w:t>will be able to deduct prior year tax losses only if it</w:t>
      </w:r>
      <w:r w:rsidR="005C1ACD">
        <w:t xml:space="preserve"> </w:t>
      </w:r>
      <w:r w:rsidR="003D1C3C">
        <w:t>satisfies</w:t>
      </w:r>
      <w:r w:rsidR="00C37153">
        <w:t xml:space="preserve"> the continuity of ownership test</w:t>
      </w:r>
      <w:r w:rsidR="00CE4341">
        <w:t>.</w:t>
      </w:r>
      <w:r w:rsidR="00824EE1" w:rsidDel="000C228B">
        <w:t xml:space="preserve"> </w:t>
      </w:r>
    </w:p>
    <w:p w14:paraId="2D7A6ED8" w14:textId="72DC774F" w:rsidR="000C228B" w:rsidRDefault="003D1C3C" w:rsidP="00712676">
      <w:pPr>
        <w:pStyle w:val="base-text-paragraph"/>
      </w:pPr>
      <w:r>
        <w:rPr>
          <w:rStyle w:val="Emphasis"/>
          <w:i w:val="0"/>
        </w:rPr>
        <w:t>Th</w:t>
      </w:r>
      <w:r w:rsidR="00C10DFB">
        <w:rPr>
          <w:rStyle w:val="Emphasis"/>
          <w:i w:val="0"/>
        </w:rPr>
        <w:t>e</w:t>
      </w:r>
      <w:r>
        <w:rPr>
          <w:rStyle w:val="Emphasis"/>
          <w:i w:val="0"/>
        </w:rPr>
        <w:t xml:space="preserve"> modification to the </w:t>
      </w:r>
      <w:r>
        <w:t>company tax loss rules</w:t>
      </w:r>
      <w:r w:rsidDel="003D1C3C">
        <w:rPr>
          <w:rStyle w:val="Emphasis"/>
          <w:i w:val="0"/>
        </w:rPr>
        <w:t xml:space="preserve"> </w:t>
      </w:r>
      <w:r>
        <w:rPr>
          <w:rStyle w:val="Emphasis"/>
          <w:i w:val="0"/>
        </w:rPr>
        <w:t>to switch</w:t>
      </w:r>
      <w:r>
        <w:rPr>
          <w:rStyle w:val="Emphasis"/>
          <w:i w:val="0"/>
        </w:rPr>
        <w:noBreakHyphen/>
        <w:t>off the business</w:t>
      </w:r>
      <w:r w:rsidR="008465C0" w:rsidRPr="003C5F51">
        <w:t xml:space="preserve"> continuity</w:t>
      </w:r>
      <w:r>
        <w:rPr>
          <w:rStyle w:val="Emphasis"/>
          <w:i w:val="0"/>
        </w:rPr>
        <w:t xml:space="preserve"> test ensures that the requirements that must be satisfied for a </w:t>
      </w:r>
      <w:r>
        <w:t>CCIV sub</w:t>
      </w:r>
      <w:r>
        <w:noBreakHyphen/>
        <w:t>fund company to be able to deduct prior year</w:t>
      </w:r>
      <w:r w:rsidR="000C228B">
        <w:t xml:space="preserve"> tax</w:t>
      </w:r>
      <w:r>
        <w:t xml:space="preserve"> losses are broadly consistent with the r</w:t>
      </w:r>
      <w:r>
        <w:rPr>
          <w:rStyle w:val="Emphasis"/>
          <w:i w:val="0"/>
        </w:rPr>
        <w:t xml:space="preserve">equirements that must be satisfied by an AMIT </w:t>
      </w:r>
      <w:r w:rsidR="000C228B">
        <w:rPr>
          <w:rStyle w:val="Emphasis"/>
          <w:i w:val="0"/>
        </w:rPr>
        <w:t xml:space="preserve">when it seeks </w:t>
      </w:r>
      <w:r>
        <w:t>to deduct prior year</w:t>
      </w:r>
      <w:r w:rsidR="000C228B">
        <w:t xml:space="preserve"> tax</w:t>
      </w:r>
      <w:r>
        <w:t xml:space="preserve"> losses</w:t>
      </w:r>
      <w:r w:rsidR="000C228B">
        <w:t>.</w:t>
      </w:r>
    </w:p>
    <w:p w14:paraId="4AB1484E" w14:textId="695519E7" w:rsidR="00B30939" w:rsidRDefault="00BF545A" w:rsidP="00712676">
      <w:pPr>
        <w:pStyle w:val="base-text-paragraph"/>
      </w:pPr>
      <w:r>
        <w:t xml:space="preserve">In addition, </w:t>
      </w:r>
      <w:r w:rsidR="00B30939" w:rsidRPr="00BF3D02">
        <w:t xml:space="preserve">Schedule </w:t>
      </w:r>
      <w:r w:rsidR="00B30939">
        <w:t>3</w:t>
      </w:r>
      <w:r w:rsidR="00B30939" w:rsidRPr="00BF3D02">
        <w:t xml:space="preserve"> to th</w:t>
      </w:r>
      <w:r w:rsidR="00B30939">
        <w:t>e</w:t>
      </w:r>
      <w:r w:rsidR="00B30939" w:rsidRPr="00BF3D02">
        <w:t xml:space="preserve"> </w:t>
      </w:r>
      <w:r w:rsidR="00B30939">
        <w:t xml:space="preserve">Exposure Draft </w:t>
      </w:r>
      <w:r w:rsidR="00B30939" w:rsidRPr="00BF3D02">
        <w:t xml:space="preserve">Bill </w:t>
      </w:r>
      <w:r w:rsidR="00B30939">
        <w:t>modifies the net capital loss rules so that each separate CCIV sub</w:t>
      </w:r>
      <w:r w:rsidR="00B30939">
        <w:noBreakHyphen/>
        <w:t>fund company</w:t>
      </w:r>
      <w:r w:rsidR="00826C17">
        <w:t>, provided the sub-fund is an attribution sub-fund,</w:t>
      </w:r>
      <w:r w:rsidR="00B30939">
        <w:t xml:space="preserve"> is not required to satisfy the con</w:t>
      </w:r>
      <w:r w:rsidR="00023254">
        <w:t xml:space="preserve">tinuity of ownership test. Consequently, </w:t>
      </w:r>
      <w:r w:rsidR="00826C17">
        <w:t>it</w:t>
      </w:r>
      <w:r w:rsidR="00023254">
        <w:t xml:space="preserve"> will be able to deduct prior year net capital losses. </w:t>
      </w:r>
      <w:r w:rsidR="005656E9">
        <w:rPr>
          <w:rStyle w:val="Referencingstyle"/>
        </w:rPr>
        <w:t>[Schedule 3, item 1</w:t>
      </w:r>
      <w:r w:rsidR="005656E9" w:rsidRPr="00F24D98">
        <w:rPr>
          <w:rStyle w:val="Referencingstyle"/>
        </w:rPr>
        <w:t xml:space="preserve">, </w:t>
      </w:r>
      <w:r w:rsidR="005656E9">
        <w:rPr>
          <w:rStyle w:val="Referencingstyle"/>
        </w:rPr>
        <w:t>paragraph 195</w:t>
      </w:r>
      <w:r w:rsidR="005656E9">
        <w:rPr>
          <w:rStyle w:val="Referencingstyle"/>
        </w:rPr>
        <w:noBreakHyphen/>
        <w:t>105(4)(b)]</w:t>
      </w:r>
    </w:p>
    <w:p w14:paraId="54D2DDFD" w14:textId="20A21FB0" w:rsidR="00023254" w:rsidRDefault="00023254" w:rsidP="00712676">
      <w:pPr>
        <w:pStyle w:val="base-text-paragraph"/>
      </w:pPr>
      <w:r>
        <w:t>This modification to the net capital loss rules ensures that the rules are broadly consistent with the r</w:t>
      </w:r>
      <w:r>
        <w:rPr>
          <w:rStyle w:val="Emphasis"/>
          <w:i w:val="0"/>
        </w:rPr>
        <w:t xml:space="preserve">equirements that must be satisfied by an AMIT when it seeks </w:t>
      </w:r>
      <w:r>
        <w:t>to deduc</w:t>
      </w:r>
      <w:r w:rsidR="00C91EAE">
        <w:t>t prior year net capital losses.</w:t>
      </w:r>
    </w:p>
    <w:p w14:paraId="7A2D80EB" w14:textId="6A003F89" w:rsidR="0016134B" w:rsidRPr="00BF3D02" w:rsidRDefault="0016134B" w:rsidP="00D624C1">
      <w:pPr>
        <w:pStyle w:val="Heading3"/>
      </w:pPr>
      <w:r w:rsidRPr="00BF3D02">
        <w:t>Withholding tax</w:t>
      </w:r>
      <w:r w:rsidR="00D624C1">
        <w:t xml:space="preserve"> on amounts paid or attributed for foreign resident members</w:t>
      </w:r>
    </w:p>
    <w:p w14:paraId="5C881C1B" w14:textId="659D7C9E" w:rsidR="006E7F4A" w:rsidRDefault="006E7F4A" w:rsidP="0016134B">
      <w:pPr>
        <w:pStyle w:val="base-text-paragraph"/>
        <w:numPr>
          <w:ilvl w:val="1"/>
          <w:numId w:val="7"/>
        </w:numPr>
      </w:pPr>
      <w:r w:rsidRPr="00BF3D02">
        <w:t xml:space="preserve">Schedule </w:t>
      </w:r>
      <w:r>
        <w:t>5</w:t>
      </w:r>
      <w:r w:rsidRPr="00BF3D02">
        <w:t xml:space="preserve"> to th</w:t>
      </w:r>
      <w:r>
        <w:t>e</w:t>
      </w:r>
      <w:r w:rsidRPr="00BF3D02">
        <w:t xml:space="preserve"> </w:t>
      </w:r>
      <w:r>
        <w:t xml:space="preserve">Exposure Draft </w:t>
      </w:r>
      <w:r w:rsidRPr="00BF3D02">
        <w:t>Bill</w:t>
      </w:r>
      <w:r>
        <w:t xml:space="preserve"> amends the withholding tax provisions in the income tax law for ASFs.</w:t>
      </w:r>
    </w:p>
    <w:p w14:paraId="06A66182" w14:textId="01ED43A8" w:rsidR="00C91EAE" w:rsidRDefault="00D624C1" w:rsidP="0016134B">
      <w:pPr>
        <w:pStyle w:val="base-text-paragraph"/>
        <w:numPr>
          <w:ilvl w:val="1"/>
          <w:numId w:val="44"/>
        </w:numPr>
      </w:pPr>
      <w:r>
        <w:t>Under the withholding tax provisions</w:t>
      </w:r>
      <w:r w:rsidR="006260F8">
        <w:t xml:space="preserve"> (section</w:t>
      </w:r>
      <w:r w:rsidR="00D75ECA">
        <w:t>s</w:t>
      </w:r>
      <w:r w:rsidR="006260F8">
        <w:t> 128AF and 128B of the ITAA 1936</w:t>
      </w:r>
      <w:r>
        <w:t>,</w:t>
      </w:r>
      <w:r w:rsidR="006260F8">
        <w:t xml:space="preserve"> and sections 12</w:t>
      </w:r>
      <w:r w:rsidR="006260F8">
        <w:noBreakHyphen/>
        <w:t>215, 12</w:t>
      </w:r>
      <w:r w:rsidR="006260F8">
        <w:noBreakHyphen/>
      </w:r>
      <w:r w:rsidR="00D75ECA">
        <w:t>250 and 12</w:t>
      </w:r>
      <w:r w:rsidR="00D75ECA">
        <w:noBreakHyphen/>
        <w:t>285 of Schedule 1 to the TAA 1953),</w:t>
      </w:r>
      <w:r>
        <w:t xml:space="preserve"> if </w:t>
      </w:r>
      <w:r w:rsidR="006260F8">
        <w:t>a MIT or an AMIT r</w:t>
      </w:r>
      <w:r>
        <w:t xml:space="preserve">eceives an amount of dividends, interest or royalties which flows through the trust and is paid </w:t>
      </w:r>
      <w:r w:rsidR="006260F8">
        <w:t xml:space="preserve">or attributed </w:t>
      </w:r>
      <w:r>
        <w:t>to a foreign resident, the foreign resident is liable to withholding</w:t>
      </w:r>
      <w:r w:rsidR="00184051">
        <w:t xml:space="preserve"> tax. The MIT or</w:t>
      </w:r>
      <w:r w:rsidR="00BF545A">
        <w:t xml:space="preserve"> AMIT has a Pay As You Go </w:t>
      </w:r>
      <w:r>
        <w:t>withholding obligation in relation to the dividends, interest or royalties that it pays to the foreign resident.</w:t>
      </w:r>
      <w:r w:rsidR="006260F8">
        <w:t xml:space="preserve"> </w:t>
      </w:r>
    </w:p>
    <w:p w14:paraId="1E97B0B3" w14:textId="4E607FB5" w:rsidR="00D624C1" w:rsidRDefault="006260F8" w:rsidP="0016134B">
      <w:pPr>
        <w:pStyle w:val="base-text-paragraph"/>
        <w:numPr>
          <w:ilvl w:val="1"/>
          <w:numId w:val="44"/>
        </w:numPr>
      </w:pPr>
      <w:r>
        <w:t xml:space="preserve">In the case of an AMIT, a </w:t>
      </w:r>
      <w:r w:rsidR="00BF545A">
        <w:t>Pay As You Go</w:t>
      </w:r>
      <w:r>
        <w:t xml:space="preserve"> withholding obligation also arises in relation to the dividends, interest or royalties that are attributed</w:t>
      </w:r>
      <w:r w:rsidRPr="006260F8">
        <w:t xml:space="preserve"> </w:t>
      </w:r>
      <w:r>
        <w:t xml:space="preserve">to </w:t>
      </w:r>
      <w:r w:rsidR="00C91EAE">
        <w:t>the foreign resident (the deemed payment withholding provisions in Division 12A of Schedule 1 to the TAA 1953).</w:t>
      </w:r>
    </w:p>
    <w:p w14:paraId="00DBF3A4" w14:textId="2A67A0D7" w:rsidR="00D624C1" w:rsidRDefault="00D624C1" w:rsidP="00D75ECA">
      <w:pPr>
        <w:pStyle w:val="base-text-paragraph"/>
        <w:numPr>
          <w:ilvl w:val="1"/>
          <w:numId w:val="44"/>
        </w:numPr>
      </w:pPr>
      <w:r>
        <w:t xml:space="preserve">Under the MIT </w:t>
      </w:r>
      <w:r w:rsidR="00D75ECA">
        <w:t xml:space="preserve">and AMIT </w:t>
      </w:r>
      <w:r>
        <w:t>withholding tax provisions</w:t>
      </w:r>
      <w:r w:rsidR="00D75ECA">
        <w:t xml:space="preserve"> (Subdivision 12-H of Schedule 1 to the TAA 1953)</w:t>
      </w:r>
      <w:r>
        <w:t xml:space="preserve">, a MIT or an AMIT </w:t>
      </w:r>
      <w:r w:rsidR="00277B79">
        <w:t xml:space="preserve">that is a withholding MIT </w:t>
      </w:r>
      <w:r>
        <w:t xml:space="preserve">is required to withhold an amount from a </w:t>
      </w:r>
      <w:r w:rsidR="00D75ECA">
        <w:t xml:space="preserve">fund </w:t>
      </w:r>
      <w:r>
        <w:t>payment</w:t>
      </w:r>
      <w:r w:rsidR="006260F8">
        <w:t xml:space="preserve"> </w:t>
      </w:r>
      <w:r w:rsidR="00D75ECA">
        <w:t>that</w:t>
      </w:r>
      <w:r w:rsidR="006260F8">
        <w:t xml:space="preserve"> is made to an entity whose address, or place for payment, is outside Australia. </w:t>
      </w:r>
      <w:r w:rsidR="00D75ECA">
        <w:t xml:space="preserve">A fund payment is, broadly, the amount of the MIT’s or AMIT’s Australian sourced income (other than dividends, interest or royalties). </w:t>
      </w:r>
      <w:r w:rsidR="006260F8">
        <w:t xml:space="preserve">If the payment is made to another Australian resident entity, the MIT or AMIT must give a notice or make information available to the recipient outlining certain details in relation to the payment. </w:t>
      </w:r>
    </w:p>
    <w:p w14:paraId="06D03CDC" w14:textId="458B1A62" w:rsidR="00D75ECA" w:rsidRDefault="00D75ECA" w:rsidP="0016134B">
      <w:pPr>
        <w:pStyle w:val="base-text-paragraph"/>
        <w:numPr>
          <w:ilvl w:val="1"/>
          <w:numId w:val="44"/>
        </w:numPr>
      </w:pPr>
      <w:r>
        <w:t>In the case of an AMIT, these same obligations arise in relation to the amounts of Australian sourced income that are attributed</w:t>
      </w:r>
      <w:r w:rsidRPr="006260F8">
        <w:t xml:space="preserve"> </w:t>
      </w:r>
      <w:r>
        <w:t xml:space="preserve">to the </w:t>
      </w:r>
      <w:r>
        <w:lastRenderedPageBreak/>
        <w:t>foreign resident (</w:t>
      </w:r>
      <w:r w:rsidR="002B5B54">
        <w:t xml:space="preserve">the deemed payment withholding provisions in </w:t>
      </w:r>
      <w:r>
        <w:t>Division 12A of Schedule 1 to the TAA 1953).</w:t>
      </w:r>
    </w:p>
    <w:p w14:paraId="10891B0D" w14:textId="21804ADE" w:rsidR="00D75ECA" w:rsidRDefault="00D75ECA" w:rsidP="0016134B">
      <w:pPr>
        <w:pStyle w:val="base-text-paragraph"/>
        <w:numPr>
          <w:ilvl w:val="1"/>
          <w:numId w:val="44"/>
        </w:numPr>
      </w:pPr>
      <w:r>
        <w:t>A foreign resident beneficiary of a MIT, an AMIT, a custodian or other entity is liable to pay withholding tax on a fund payment, or a payment attributable to a fund payment, made by the MIT, AMIT, custodian or other entity (Subdivision 840</w:t>
      </w:r>
      <w:r>
        <w:noBreakHyphen/>
        <w:t>M). An amount on which withholding tax is payable is non</w:t>
      </w:r>
      <w:r>
        <w:noBreakHyphen/>
        <w:t>assessable non</w:t>
      </w:r>
      <w:r>
        <w:noBreakHyphen/>
        <w:t xml:space="preserve">exempt income of the foreign resident beneficiary. </w:t>
      </w:r>
    </w:p>
    <w:p w14:paraId="04A2BFB4" w14:textId="7A6F4763" w:rsidR="00886447" w:rsidRDefault="0016134B" w:rsidP="0016134B">
      <w:pPr>
        <w:pStyle w:val="base-text-paragraph"/>
        <w:numPr>
          <w:ilvl w:val="1"/>
          <w:numId w:val="44"/>
        </w:numPr>
      </w:pPr>
      <w:r w:rsidRPr="0038204D">
        <w:t xml:space="preserve">The amendments </w:t>
      </w:r>
      <w:r w:rsidR="00277B79">
        <w:t xml:space="preserve">ensure that the withholding tax outcomes for </w:t>
      </w:r>
      <w:r w:rsidR="00886447">
        <w:t>a</w:t>
      </w:r>
      <w:r w:rsidR="00FD3762">
        <w:t>n ASF</w:t>
      </w:r>
      <w:r w:rsidR="00886447">
        <w:t xml:space="preserve"> of a CCIV (and its members) are the same as those that arise for an AMIT (and its members).</w:t>
      </w:r>
    </w:p>
    <w:p w14:paraId="2046AFE1" w14:textId="0B13B4A1" w:rsidR="00886447" w:rsidRDefault="00886447" w:rsidP="00886447">
      <w:pPr>
        <w:pStyle w:val="base-text-paragraph"/>
        <w:numPr>
          <w:ilvl w:val="1"/>
          <w:numId w:val="44"/>
        </w:numPr>
      </w:pPr>
      <w:r>
        <w:t>That is, to ensure that the dividend, interest and royalty withholding provisions apply to a</w:t>
      </w:r>
      <w:r w:rsidR="00FD3762">
        <w:t>n ASF</w:t>
      </w:r>
      <w:r>
        <w:t xml:space="preserve"> of a CCIV (and its members) </w:t>
      </w:r>
      <w:r w:rsidR="00C34C37">
        <w:t>in the same way that they apply to</w:t>
      </w:r>
      <w:r>
        <w:t xml:space="preserve"> an AMIT (and its members), section 128AF is amen</w:t>
      </w:r>
      <w:r w:rsidR="0097418B">
        <w:t>ded so that it applies to an AMIT and CCIV that has an ASF</w:t>
      </w:r>
      <w:r>
        <w:t xml:space="preserve">. </w:t>
      </w:r>
      <w:r w:rsidR="00C4359B">
        <w:rPr>
          <w:rStyle w:val="Referencingstyle"/>
        </w:rPr>
        <w:t>[Schedule 5</w:t>
      </w:r>
      <w:r w:rsidRPr="00F24D98">
        <w:rPr>
          <w:rStyle w:val="Referencingstyle"/>
        </w:rPr>
        <w:t>, item</w:t>
      </w:r>
      <w:r w:rsidR="00C4359B">
        <w:rPr>
          <w:rStyle w:val="Referencingstyle"/>
        </w:rPr>
        <w:t>s 1 and 2</w:t>
      </w:r>
      <w:r w:rsidRPr="00F24D98">
        <w:rPr>
          <w:rStyle w:val="Referencingstyle"/>
        </w:rPr>
        <w:t>, section 12</w:t>
      </w:r>
      <w:r>
        <w:rPr>
          <w:rStyle w:val="Referencingstyle"/>
        </w:rPr>
        <w:t>8AF of the ITAA 1936</w:t>
      </w:r>
      <w:r w:rsidRPr="00F24D98">
        <w:rPr>
          <w:rStyle w:val="Referencingstyle"/>
        </w:rPr>
        <w:t>]</w:t>
      </w:r>
    </w:p>
    <w:p w14:paraId="75BE6986" w14:textId="5736A65F" w:rsidR="00886447" w:rsidRDefault="00886447" w:rsidP="00886447">
      <w:pPr>
        <w:pStyle w:val="base-text-paragraph"/>
        <w:numPr>
          <w:ilvl w:val="1"/>
          <w:numId w:val="44"/>
        </w:numPr>
      </w:pPr>
      <w:r>
        <w:t xml:space="preserve">To ensure that the </w:t>
      </w:r>
      <w:r w:rsidR="00C34C37">
        <w:t>fund payment withholding provisions apply to a</w:t>
      </w:r>
      <w:r w:rsidR="00FD3762">
        <w:t>n ASF</w:t>
      </w:r>
      <w:r w:rsidR="00C34C37">
        <w:t xml:space="preserve"> of a CCIV (and its members) in the same way that they apply to an AMIT (and its members)</w:t>
      </w:r>
      <w:r>
        <w:t>;</w:t>
      </w:r>
    </w:p>
    <w:p w14:paraId="5B24A623" w14:textId="548B995A" w:rsidR="00C34C37" w:rsidRDefault="00C34C37" w:rsidP="00886447">
      <w:pPr>
        <w:pStyle w:val="dotpoint"/>
      </w:pPr>
      <w:r>
        <w:t>Subdivision 840</w:t>
      </w:r>
      <w:r>
        <w:noBreakHyphen/>
        <w:t xml:space="preserve">M is modified so that it applies to a withholding </w:t>
      </w:r>
      <w:r w:rsidR="00A97E07">
        <w:t>CCIV</w:t>
      </w:r>
      <w:r w:rsidRPr="00C34C37">
        <w:t xml:space="preserve"> </w:t>
      </w:r>
      <w:r>
        <w:t>in the same way that it applies to a withholding MIT</w:t>
      </w:r>
      <w:r w:rsidR="00C91EAE">
        <w:t xml:space="preserve"> </w:t>
      </w:r>
      <w:r w:rsidR="00585007">
        <w:t>—</w:t>
      </w:r>
      <w:r w:rsidR="00C91EAE">
        <w:t xml:space="preserve"> to achieve this</w:t>
      </w:r>
      <w:r w:rsidR="002B5B54">
        <w:t>, references to ‘MIT withholding tax’ will be changed to ‘investment vehicle withholding tax’</w:t>
      </w:r>
      <w:r>
        <w:t>; and</w:t>
      </w:r>
    </w:p>
    <w:p w14:paraId="285AA447" w14:textId="2BEF5123" w:rsidR="00886447" w:rsidRDefault="00C34C37" w:rsidP="00886447">
      <w:pPr>
        <w:pStyle w:val="dotpoint"/>
      </w:pPr>
      <w:r>
        <w:t>Subdivision 12</w:t>
      </w:r>
      <w:r>
        <w:noBreakHyphen/>
        <w:t>H of Schedule 1 to the TAA 1953 is modified so that it applies to a withholding CCIV in the same way that it applies to a withholding MIT</w:t>
      </w:r>
      <w:r w:rsidR="00886447">
        <w:t>.</w:t>
      </w:r>
    </w:p>
    <w:p w14:paraId="42F813AE" w14:textId="732AF00E" w:rsidR="00C34C37" w:rsidRPr="00C34C37" w:rsidRDefault="00C4359B" w:rsidP="00C34C37">
      <w:pPr>
        <w:pStyle w:val="base-text-paragraphnonumbers"/>
        <w:rPr>
          <w:rStyle w:val="Referencingstyle"/>
        </w:rPr>
      </w:pPr>
      <w:r>
        <w:rPr>
          <w:rStyle w:val="Referencingstyle"/>
        </w:rPr>
        <w:t xml:space="preserve">[Schedule 5, items </w:t>
      </w:r>
      <w:r w:rsidR="00DB46E2">
        <w:rPr>
          <w:rStyle w:val="Referencingstyle"/>
        </w:rPr>
        <w:t>3</w:t>
      </w:r>
      <w:r>
        <w:rPr>
          <w:rStyle w:val="Referencingstyle"/>
        </w:rPr>
        <w:t xml:space="preserve"> </w:t>
      </w:r>
      <w:r w:rsidR="00C34C37" w:rsidRPr="00C34C37">
        <w:rPr>
          <w:rStyle w:val="Referencingstyle"/>
        </w:rPr>
        <w:t xml:space="preserve">to </w:t>
      </w:r>
      <w:r>
        <w:rPr>
          <w:rStyle w:val="Referencingstyle"/>
        </w:rPr>
        <w:t>25 and 2</w:t>
      </w:r>
      <w:r w:rsidR="00DB46E2">
        <w:rPr>
          <w:rStyle w:val="Referencingstyle"/>
        </w:rPr>
        <w:t>7</w:t>
      </w:r>
      <w:r>
        <w:rPr>
          <w:rStyle w:val="Referencingstyle"/>
        </w:rPr>
        <w:t xml:space="preserve"> to 45</w:t>
      </w:r>
      <w:r w:rsidR="00C34C37" w:rsidRPr="00C34C37">
        <w:rPr>
          <w:rStyle w:val="Referencingstyle"/>
        </w:rPr>
        <w:t>, sections</w:t>
      </w:r>
      <w:r w:rsidR="00C34C37">
        <w:rPr>
          <w:rStyle w:val="Referencingstyle"/>
        </w:rPr>
        <w:t xml:space="preserve"> 840-800 to 840-815 of the ITAA </w:t>
      </w:r>
      <w:r w:rsidR="00C34C37" w:rsidRPr="00C34C37">
        <w:rPr>
          <w:rStyle w:val="Referencingstyle"/>
        </w:rPr>
        <w:t>1997 and sections 12-375 to 12-395 in Schedule 1 to the TAA 1953]</w:t>
      </w:r>
    </w:p>
    <w:p w14:paraId="25330571" w14:textId="77777777" w:rsidR="00517219" w:rsidRDefault="00517219" w:rsidP="00C34C37">
      <w:pPr>
        <w:pStyle w:val="base-text-paragraph"/>
        <w:numPr>
          <w:ilvl w:val="1"/>
          <w:numId w:val="44"/>
        </w:numPr>
      </w:pPr>
      <w:r>
        <w:t xml:space="preserve">An entity is a </w:t>
      </w:r>
      <w:r w:rsidRPr="00A31E12">
        <w:rPr>
          <w:i/>
        </w:rPr>
        <w:t>withholding CCIV</w:t>
      </w:r>
      <w:r>
        <w:t>, in relation to an income year, if:</w:t>
      </w:r>
    </w:p>
    <w:p w14:paraId="197B3A54" w14:textId="66C40883" w:rsidR="00517219" w:rsidRDefault="00517219" w:rsidP="00517219">
      <w:pPr>
        <w:pStyle w:val="dotpoint"/>
      </w:pPr>
      <w:r>
        <w:t xml:space="preserve">the entity is a CCIV </w:t>
      </w:r>
      <w:r w:rsidR="00A97E07">
        <w:t xml:space="preserve">that has one or more ASFs </w:t>
      </w:r>
      <w:r>
        <w:t>for the income year; and</w:t>
      </w:r>
    </w:p>
    <w:p w14:paraId="38AA5239" w14:textId="669965C6" w:rsidR="00517219" w:rsidRDefault="00517219" w:rsidP="00517219">
      <w:pPr>
        <w:pStyle w:val="dotpoint"/>
      </w:pPr>
      <w:r>
        <w:t xml:space="preserve">in relation to each </w:t>
      </w:r>
      <w:r w:rsidR="00FD3762">
        <w:t>ASF</w:t>
      </w:r>
      <w:r>
        <w:t xml:space="preserve"> of the entity — a substantial proportion of the investment management activities carried out in respect of the following assets of the entity that are allocated to the sub</w:t>
      </w:r>
      <w:r>
        <w:noBreakHyphen/>
        <w:t>fund are carried out in Australia throughout the income year:</w:t>
      </w:r>
    </w:p>
    <w:p w14:paraId="7EC242F6" w14:textId="77777777" w:rsidR="00517219" w:rsidRDefault="00517219" w:rsidP="00517219">
      <w:pPr>
        <w:pStyle w:val="dotpoint2"/>
      </w:pPr>
      <w:r>
        <w:t>assets that are situated in Australia at any time in the income year;</w:t>
      </w:r>
    </w:p>
    <w:p w14:paraId="1CCCFAC4" w14:textId="77777777" w:rsidR="00A31E12" w:rsidRDefault="00A31E12" w:rsidP="00517219">
      <w:pPr>
        <w:pStyle w:val="dotpoint2"/>
      </w:pPr>
      <w:r>
        <w:lastRenderedPageBreak/>
        <w:t>assets that are taxable Australian real property at any time in the income year; and</w:t>
      </w:r>
    </w:p>
    <w:p w14:paraId="1A728F0A" w14:textId="2BAD3EEB" w:rsidR="00517219" w:rsidRDefault="00A31E12" w:rsidP="00517219">
      <w:pPr>
        <w:pStyle w:val="dotpoint2"/>
      </w:pPr>
      <w:proofErr w:type="gramStart"/>
      <w:r>
        <w:t>assets</w:t>
      </w:r>
      <w:proofErr w:type="gramEnd"/>
      <w:r>
        <w:t xml:space="preserve"> that are shares, units or interests listed for quotation on an official list of an approve stock exchange in Australia at any time in the income year.</w:t>
      </w:r>
    </w:p>
    <w:p w14:paraId="1722C35B" w14:textId="61B796CC" w:rsidR="00A31E12" w:rsidRDefault="006228F1" w:rsidP="00A31E12">
      <w:pPr>
        <w:pStyle w:val="base-text-paragraphnonumbers"/>
      </w:pPr>
      <w:r>
        <w:rPr>
          <w:rStyle w:val="Referencingstyle"/>
        </w:rPr>
        <w:t>[Schedule 5, item 30</w:t>
      </w:r>
      <w:r w:rsidR="00A31E12" w:rsidRPr="00C34C37">
        <w:rPr>
          <w:rStyle w:val="Referencingstyle"/>
        </w:rPr>
        <w:t xml:space="preserve">, </w:t>
      </w:r>
      <w:proofErr w:type="gramStart"/>
      <w:r w:rsidR="00A31E12" w:rsidRPr="00C34C37">
        <w:rPr>
          <w:rStyle w:val="Referencingstyle"/>
        </w:rPr>
        <w:t>section</w:t>
      </w:r>
      <w:proofErr w:type="gramEnd"/>
      <w:r w:rsidR="00A31E12" w:rsidRPr="00C34C37">
        <w:rPr>
          <w:rStyle w:val="Referencingstyle"/>
        </w:rPr>
        <w:t xml:space="preserve"> 12-3</w:t>
      </w:r>
      <w:r w:rsidR="00A31E12">
        <w:rPr>
          <w:rStyle w:val="Referencingstyle"/>
        </w:rPr>
        <w:t>84</w:t>
      </w:r>
      <w:r w:rsidR="00A31E12" w:rsidRPr="00C34C37">
        <w:rPr>
          <w:rStyle w:val="Referencingstyle"/>
        </w:rPr>
        <w:t xml:space="preserve"> in Schedule 1 to the TAA 1953]</w:t>
      </w:r>
    </w:p>
    <w:p w14:paraId="58E51603" w14:textId="118C8715" w:rsidR="00A31E12" w:rsidRPr="007C216B" w:rsidRDefault="00A31E12" w:rsidP="00A31E12">
      <w:pPr>
        <w:pStyle w:val="base-text-paragraph"/>
        <w:numPr>
          <w:ilvl w:val="1"/>
          <w:numId w:val="44"/>
        </w:numPr>
      </w:pPr>
      <w:r w:rsidRPr="00BF3D02">
        <w:t>Th</w:t>
      </w:r>
      <w:r>
        <w:t xml:space="preserve">e definition of a </w:t>
      </w:r>
      <w:r w:rsidRPr="00A31E12">
        <w:rPr>
          <w:i/>
        </w:rPr>
        <w:t>withholding CCIV</w:t>
      </w:r>
      <w:r w:rsidR="00C91EAE">
        <w:t xml:space="preserve"> is the same as</w:t>
      </w:r>
      <w:r w:rsidRPr="00BF3D02">
        <w:t xml:space="preserve"> the definition of a </w:t>
      </w:r>
      <w:r w:rsidRPr="00A31E12">
        <w:rPr>
          <w:i/>
        </w:rPr>
        <w:t>withholding MIT</w:t>
      </w:r>
      <w:r w:rsidRPr="00BF3D02">
        <w:t>, with a</w:t>
      </w:r>
      <w:r>
        <w:t xml:space="preserve">ppropriate adjustments for the </w:t>
      </w:r>
      <w:r w:rsidRPr="00BF3D02">
        <w:t xml:space="preserve">CCIV </w:t>
      </w:r>
      <w:r>
        <w:t xml:space="preserve">and sub-fund </w:t>
      </w:r>
      <w:r w:rsidRPr="00BF3D02">
        <w:t xml:space="preserve">structure. That is, the test relating to the investment management activities that are carried out in Australia applies in relation to </w:t>
      </w:r>
      <w:r w:rsidRPr="007C216B">
        <w:t xml:space="preserve">each </w:t>
      </w:r>
      <w:r w:rsidR="00FD3762">
        <w:t xml:space="preserve">ASF </w:t>
      </w:r>
      <w:r>
        <w:t xml:space="preserve">of the </w:t>
      </w:r>
      <w:r w:rsidRPr="00BF3D02">
        <w:t xml:space="preserve">CCIV. Each </w:t>
      </w:r>
      <w:r w:rsidR="00FD3762">
        <w:t>ASF</w:t>
      </w:r>
      <w:r w:rsidRPr="00BF3D02">
        <w:t xml:space="preserve"> must satisf</w:t>
      </w:r>
      <w:r>
        <w:t xml:space="preserve">y this test in order for the CCIV to be a withholding </w:t>
      </w:r>
      <w:r w:rsidRPr="00BF3D02">
        <w:t xml:space="preserve">CCIV. </w:t>
      </w:r>
    </w:p>
    <w:p w14:paraId="2116EEDC" w14:textId="55DCCEA3" w:rsidR="00C34C37" w:rsidRDefault="00C34C37" w:rsidP="00C34C37">
      <w:pPr>
        <w:pStyle w:val="base-text-paragraph"/>
        <w:numPr>
          <w:ilvl w:val="1"/>
          <w:numId w:val="44"/>
        </w:numPr>
      </w:pPr>
      <w:r>
        <w:t>To ensure that the deemed fund payment withholding provisions apply to a</w:t>
      </w:r>
      <w:r w:rsidR="009E69C4">
        <w:t>n ASF</w:t>
      </w:r>
      <w:r>
        <w:t xml:space="preserve"> of a CCIV (and its members) in the same way that they apply to an AMIT (and its members</w:t>
      </w:r>
      <w:r w:rsidR="00BB0C16">
        <w:t>):</w:t>
      </w:r>
    </w:p>
    <w:p w14:paraId="07D64046" w14:textId="3B82DFC9" w:rsidR="00C34C37" w:rsidRDefault="00C34C37" w:rsidP="00C34C37">
      <w:pPr>
        <w:pStyle w:val="dotpoint"/>
      </w:pPr>
      <w:r>
        <w:t>Subdivision 840</w:t>
      </w:r>
      <w:r>
        <w:noBreakHyphen/>
        <w:t xml:space="preserve">M is modified so that it applies to a withholding </w:t>
      </w:r>
      <w:r w:rsidR="00A97E07">
        <w:t>CCIV</w:t>
      </w:r>
      <w:r w:rsidRPr="00C34C37">
        <w:t xml:space="preserve"> </w:t>
      </w:r>
      <w:r>
        <w:t>in the same way that it applies to a withholding MIT; and</w:t>
      </w:r>
    </w:p>
    <w:p w14:paraId="416C6272" w14:textId="75664D67" w:rsidR="00C34C37" w:rsidRDefault="00C34C37" w:rsidP="00C34C37">
      <w:pPr>
        <w:pStyle w:val="dotpoint"/>
      </w:pPr>
      <w:r>
        <w:t xml:space="preserve">Division 12A of Schedule 1 to the TAA 1953 is modified so that it applies to a withholding </w:t>
      </w:r>
      <w:r w:rsidR="00A97E07">
        <w:t>CCIV</w:t>
      </w:r>
      <w:r>
        <w:t xml:space="preserve"> </w:t>
      </w:r>
      <w:r w:rsidR="00517219">
        <w:t xml:space="preserve">(instead of a </w:t>
      </w:r>
      <w:r>
        <w:t>withholding MIT</w:t>
      </w:r>
      <w:r w:rsidR="00517219">
        <w:t>)</w:t>
      </w:r>
      <w:r>
        <w:t>.</w:t>
      </w:r>
    </w:p>
    <w:p w14:paraId="76097EE9" w14:textId="328F63D5" w:rsidR="00C34C37" w:rsidRPr="00C34C37" w:rsidRDefault="00333B14" w:rsidP="00C34C37">
      <w:pPr>
        <w:pStyle w:val="base-text-paragraphnonumbers"/>
        <w:rPr>
          <w:rStyle w:val="Referencingstyle"/>
        </w:rPr>
      </w:pPr>
      <w:r>
        <w:rPr>
          <w:rStyle w:val="Referencingstyle"/>
        </w:rPr>
        <w:t xml:space="preserve">[Schedule 5, items </w:t>
      </w:r>
      <w:r w:rsidR="00DB46E2">
        <w:rPr>
          <w:rStyle w:val="Referencingstyle"/>
        </w:rPr>
        <w:t>3</w:t>
      </w:r>
      <w:r w:rsidR="00C34C37" w:rsidRPr="00C34C37">
        <w:rPr>
          <w:rStyle w:val="Referencingstyle"/>
        </w:rPr>
        <w:t xml:space="preserve"> to </w:t>
      </w:r>
      <w:r>
        <w:rPr>
          <w:rStyle w:val="Referencingstyle"/>
        </w:rPr>
        <w:t>25</w:t>
      </w:r>
      <w:r w:rsidR="00C34C37">
        <w:rPr>
          <w:rStyle w:val="Referencingstyle"/>
        </w:rPr>
        <w:t xml:space="preserve"> and </w:t>
      </w:r>
      <w:r>
        <w:rPr>
          <w:rStyle w:val="Referencingstyle"/>
        </w:rPr>
        <w:t>4</w:t>
      </w:r>
      <w:r w:rsidR="00DB46E2">
        <w:rPr>
          <w:rStyle w:val="Referencingstyle"/>
        </w:rPr>
        <w:t>6</w:t>
      </w:r>
      <w:r w:rsidR="00C34C37">
        <w:rPr>
          <w:rStyle w:val="Referencingstyle"/>
        </w:rPr>
        <w:t xml:space="preserve"> to </w:t>
      </w:r>
      <w:r w:rsidR="001A46A0">
        <w:rPr>
          <w:rStyle w:val="Referencingstyle"/>
        </w:rPr>
        <w:t>147</w:t>
      </w:r>
      <w:r w:rsidR="00C34C37" w:rsidRPr="00C34C37">
        <w:rPr>
          <w:rStyle w:val="Referencingstyle"/>
        </w:rPr>
        <w:t>, sections</w:t>
      </w:r>
      <w:r w:rsidR="00C34C37">
        <w:rPr>
          <w:rStyle w:val="Referencingstyle"/>
        </w:rPr>
        <w:t xml:space="preserve"> 840-800 to 840-815 of the ITAA </w:t>
      </w:r>
      <w:r w:rsidR="00C34C37" w:rsidRPr="00C34C37">
        <w:rPr>
          <w:rStyle w:val="Referencingstyle"/>
        </w:rPr>
        <w:t>1997 and sections 12</w:t>
      </w:r>
      <w:r w:rsidR="00517219">
        <w:rPr>
          <w:rStyle w:val="Referencingstyle"/>
        </w:rPr>
        <w:t>A</w:t>
      </w:r>
      <w:r w:rsidR="00C34C37" w:rsidRPr="00C34C37">
        <w:rPr>
          <w:rStyle w:val="Referencingstyle"/>
        </w:rPr>
        <w:t>-</w:t>
      </w:r>
      <w:r w:rsidR="00517219">
        <w:rPr>
          <w:rStyle w:val="Referencingstyle"/>
        </w:rPr>
        <w:t>1</w:t>
      </w:r>
      <w:r w:rsidR="00C34C37" w:rsidRPr="00C34C37">
        <w:rPr>
          <w:rStyle w:val="Referencingstyle"/>
        </w:rPr>
        <w:t xml:space="preserve"> to 12</w:t>
      </w:r>
      <w:r w:rsidR="00517219">
        <w:rPr>
          <w:rStyle w:val="Referencingstyle"/>
        </w:rPr>
        <w:t>A</w:t>
      </w:r>
      <w:r w:rsidR="00C34C37" w:rsidRPr="00C34C37">
        <w:rPr>
          <w:rStyle w:val="Referencingstyle"/>
        </w:rPr>
        <w:t>-</w:t>
      </w:r>
      <w:r w:rsidR="00517219">
        <w:rPr>
          <w:rStyle w:val="Referencingstyle"/>
        </w:rPr>
        <w:t>220</w:t>
      </w:r>
      <w:r w:rsidR="00C34C37" w:rsidRPr="00C34C37">
        <w:rPr>
          <w:rStyle w:val="Referencingstyle"/>
        </w:rPr>
        <w:t xml:space="preserve"> in Schedule 1 to the TAA 1953]</w:t>
      </w:r>
    </w:p>
    <w:p w14:paraId="1D497211" w14:textId="61D667B8" w:rsidR="00AE7E71" w:rsidRDefault="0016134B" w:rsidP="0016134B">
      <w:pPr>
        <w:pStyle w:val="base-text-paragraph"/>
        <w:numPr>
          <w:ilvl w:val="1"/>
          <w:numId w:val="44"/>
        </w:numPr>
      </w:pPr>
      <w:r w:rsidRPr="007C216B">
        <w:t xml:space="preserve">The amendments </w:t>
      </w:r>
      <w:r w:rsidR="00AE7E71">
        <w:t>insert new terminology</w:t>
      </w:r>
      <w:r w:rsidR="00AE7E71" w:rsidRPr="007C216B">
        <w:t xml:space="preserve"> </w:t>
      </w:r>
      <w:r w:rsidR="00AE7E71">
        <w:t xml:space="preserve">to </w:t>
      </w:r>
      <w:r w:rsidRPr="007C216B">
        <w:t>apply the withholding provisions under the AMIT attribution model to wit</w:t>
      </w:r>
      <w:r>
        <w:t>hholding AIVs. F</w:t>
      </w:r>
      <w:r w:rsidRPr="007C216B">
        <w:t>or example</w:t>
      </w:r>
      <w:r w:rsidR="00AE7E71">
        <w:t>:</w:t>
      </w:r>
    </w:p>
    <w:p w14:paraId="7DEB2AD7" w14:textId="69B30E96" w:rsidR="00BA3BD2" w:rsidRDefault="00BA3BD2" w:rsidP="00AE7E71">
      <w:pPr>
        <w:pStyle w:val="dotpoint"/>
      </w:pPr>
      <w:r w:rsidRPr="007C216B">
        <w:t xml:space="preserve">‘AIV </w:t>
      </w:r>
      <w:r>
        <w:t>dividend</w:t>
      </w:r>
      <w:r w:rsidRPr="007C216B">
        <w:t xml:space="preserve"> payment’ </w:t>
      </w:r>
      <w:r>
        <w:t xml:space="preserve">replaces </w:t>
      </w:r>
      <w:r w:rsidRPr="007C216B">
        <w:t xml:space="preserve">‘AMIT </w:t>
      </w:r>
      <w:r>
        <w:t>dividend</w:t>
      </w:r>
      <w:r w:rsidRPr="007C216B">
        <w:t xml:space="preserve"> payment’</w:t>
      </w:r>
      <w:r>
        <w:t>;</w:t>
      </w:r>
    </w:p>
    <w:p w14:paraId="15438EAD" w14:textId="058694BC" w:rsidR="00BA3BD2" w:rsidRDefault="00BA3BD2" w:rsidP="00AE7E71">
      <w:pPr>
        <w:pStyle w:val="dotpoint"/>
      </w:pPr>
      <w:r w:rsidRPr="007C216B">
        <w:t xml:space="preserve">‘AIV </w:t>
      </w:r>
      <w:r>
        <w:t>interest</w:t>
      </w:r>
      <w:r w:rsidRPr="007C216B">
        <w:t xml:space="preserve"> payment’ </w:t>
      </w:r>
      <w:r>
        <w:t xml:space="preserve">replaces </w:t>
      </w:r>
      <w:r w:rsidRPr="007C216B">
        <w:t xml:space="preserve">‘AMIT </w:t>
      </w:r>
      <w:r>
        <w:t>interest</w:t>
      </w:r>
      <w:r w:rsidRPr="007C216B">
        <w:t xml:space="preserve"> payment’</w:t>
      </w:r>
      <w:r>
        <w:t>;</w:t>
      </w:r>
    </w:p>
    <w:p w14:paraId="22E9FC73" w14:textId="1F148E0C" w:rsidR="00BA3BD2" w:rsidRDefault="00BA3BD2" w:rsidP="00AE7E71">
      <w:pPr>
        <w:pStyle w:val="dotpoint"/>
      </w:pPr>
      <w:r w:rsidRPr="007C216B">
        <w:t xml:space="preserve">‘AIV </w:t>
      </w:r>
      <w:r>
        <w:t>royalty</w:t>
      </w:r>
      <w:r w:rsidRPr="007C216B">
        <w:t xml:space="preserve"> payment’ </w:t>
      </w:r>
      <w:r>
        <w:t xml:space="preserve">replaces </w:t>
      </w:r>
      <w:r w:rsidRPr="007C216B">
        <w:t xml:space="preserve">‘AMIT </w:t>
      </w:r>
      <w:r>
        <w:t>royalty</w:t>
      </w:r>
      <w:r w:rsidRPr="007C216B">
        <w:t xml:space="preserve"> payment’</w:t>
      </w:r>
      <w:r>
        <w:t>;</w:t>
      </w:r>
    </w:p>
    <w:p w14:paraId="1E4EF8AD" w14:textId="41D7797C" w:rsidR="00BA3BD2" w:rsidRDefault="0016134B" w:rsidP="00AE7E71">
      <w:pPr>
        <w:pStyle w:val="dotpoint"/>
      </w:pPr>
      <w:r w:rsidRPr="007C216B">
        <w:t xml:space="preserve">‘AIV DIR payment’ </w:t>
      </w:r>
      <w:r>
        <w:t xml:space="preserve">replaces </w:t>
      </w:r>
      <w:r w:rsidRPr="007C216B">
        <w:t>‘AMIT DIR payment’</w:t>
      </w:r>
      <w:r w:rsidR="00AE7E71">
        <w:t>;</w:t>
      </w:r>
    </w:p>
    <w:p w14:paraId="5B214CED" w14:textId="0426CBF2" w:rsidR="00BA3BD2" w:rsidRDefault="0016134B" w:rsidP="00AE7E71">
      <w:pPr>
        <w:pStyle w:val="dotpoint"/>
      </w:pPr>
      <w:r w:rsidRPr="007C216B">
        <w:t xml:space="preserve">‘AIVMA statement’ </w:t>
      </w:r>
      <w:r>
        <w:t>replaces</w:t>
      </w:r>
      <w:r w:rsidRPr="007C216B">
        <w:t xml:space="preserve"> ‘AMMA statement’</w:t>
      </w:r>
      <w:r w:rsidR="00BA3BD2">
        <w:t>;</w:t>
      </w:r>
    </w:p>
    <w:p w14:paraId="0B35A3CE" w14:textId="5F6AA41B" w:rsidR="00BA3BD2" w:rsidRDefault="00BA3BD2" w:rsidP="00AE7E71">
      <w:pPr>
        <w:pStyle w:val="dotpoint"/>
      </w:pPr>
      <w:r w:rsidRPr="007C216B">
        <w:t>‘</w:t>
      </w:r>
      <w:r>
        <w:t>post</w:t>
      </w:r>
      <w:r>
        <w:noBreakHyphen/>
      </w:r>
      <w:r w:rsidRPr="007C216B">
        <w:t>AIV</w:t>
      </w:r>
      <w:r>
        <w:t xml:space="preserve">MA actual </w:t>
      </w:r>
      <w:r w:rsidRPr="007C216B">
        <w:t xml:space="preserve">payment’ </w:t>
      </w:r>
      <w:r>
        <w:t xml:space="preserve">replaces </w:t>
      </w:r>
      <w:r w:rsidRPr="007C216B">
        <w:t>‘</w:t>
      </w:r>
      <w:r>
        <w:t>post</w:t>
      </w:r>
      <w:r>
        <w:noBreakHyphen/>
        <w:t xml:space="preserve">AMMA actual </w:t>
      </w:r>
      <w:r w:rsidRPr="007C216B">
        <w:t>payment’</w:t>
      </w:r>
      <w:r>
        <w:t>; and</w:t>
      </w:r>
    </w:p>
    <w:p w14:paraId="539B51A6" w14:textId="15F27A97" w:rsidR="0016134B" w:rsidRDefault="00BA3BD2" w:rsidP="00AE7E71">
      <w:pPr>
        <w:pStyle w:val="dotpoint"/>
      </w:pPr>
      <w:r w:rsidRPr="007C216B">
        <w:t>‘</w:t>
      </w:r>
      <w:proofErr w:type="gramStart"/>
      <w:r>
        <w:t>pre</w:t>
      </w:r>
      <w:r>
        <w:noBreakHyphen/>
      </w:r>
      <w:r w:rsidRPr="007C216B">
        <w:t>AIV</w:t>
      </w:r>
      <w:r>
        <w:t>MA</w:t>
      </w:r>
      <w:proofErr w:type="gramEnd"/>
      <w:r>
        <w:t xml:space="preserve"> actual </w:t>
      </w:r>
      <w:r w:rsidRPr="007C216B">
        <w:t xml:space="preserve">payment’ </w:t>
      </w:r>
      <w:r>
        <w:t xml:space="preserve">replaces </w:t>
      </w:r>
      <w:r w:rsidRPr="007C216B">
        <w:t>‘</w:t>
      </w:r>
      <w:r>
        <w:t>pre</w:t>
      </w:r>
      <w:r>
        <w:noBreakHyphen/>
        <w:t xml:space="preserve">AMMA actual </w:t>
      </w:r>
      <w:r w:rsidRPr="007C216B">
        <w:t>payment’</w:t>
      </w:r>
      <w:r w:rsidR="00AE7E71">
        <w:t>.</w:t>
      </w:r>
    </w:p>
    <w:p w14:paraId="65A809E4" w14:textId="77777777" w:rsidR="00F04808" w:rsidRDefault="00F04808" w:rsidP="00F04808">
      <w:pPr>
        <w:pStyle w:val="Heading3"/>
      </w:pPr>
      <w:r w:rsidRPr="003C5F51">
        <w:t>Non</w:t>
      </w:r>
      <w:r w:rsidRPr="003C5F51">
        <w:noBreakHyphen/>
        <w:t>concessional investment vehicle income</w:t>
      </w:r>
    </w:p>
    <w:p w14:paraId="7A904E3C" w14:textId="5726FC15" w:rsidR="00F04808" w:rsidRDefault="00F04808" w:rsidP="00F04808">
      <w:pPr>
        <w:pStyle w:val="base-text-paragraph"/>
      </w:pPr>
      <w:r w:rsidRPr="00BF3D02">
        <w:t xml:space="preserve">Schedule </w:t>
      </w:r>
      <w:r>
        <w:t>8</w:t>
      </w:r>
      <w:r w:rsidRPr="00BF3D02">
        <w:t xml:space="preserve"> to th</w:t>
      </w:r>
      <w:r>
        <w:t>e</w:t>
      </w:r>
      <w:r w:rsidRPr="00BF3D02">
        <w:t xml:space="preserve"> </w:t>
      </w:r>
      <w:r>
        <w:t xml:space="preserve">Exposure Draft </w:t>
      </w:r>
      <w:r w:rsidRPr="00BF3D02">
        <w:t>Bill</w:t>
      </w:r>
      <w:r>
        <w:t xml:space="preserve"> amends the income tax law for CCIVs to ensure that the amendments in the Making Sure Foreign </w:t>
      </w:r>
      <w:r>
        <w:lastRenderedPageBreak/>
        <w:t xml:space="preserve">Investors Pay Their Fair of Tax in Australia Bill apply to CCIVs in the same way as they apply to AMITs. </w:t>
      </w:r>
    </w:p>
    <w:p w14:paraId="0D164EE8" w14:textId="51CA0903" w:rsidR="00F04808" w:rsidRDefault="00F04808" w:rsidP="00F04808">
      <w:pPr>
        <w:pStyle w:val="base-text-paragraph"/>
      </w:pPr>
      <w:r>
        <w:t>The Making Sure Foreign Investors Pay Their Fair of Tax in Australia Bill was introduced into the Parliament on 20 September 2018. Schedule 1 to the Bill proposes to amend the taxation law to improve the integrity of the income tax law for arrangements involving stapled structures and to limit access to tax concessions by foreign investors by increasing the withholding rate on fund payments that are attributable to non</w:t>
      </w:r>
      <w:r>
        <w:noBreakHyphen/>
        <w:t>concessional MIT income to 30 per cent.</w:t>
      </w:r>
    </w:p>
    <w:p w14:paraId="2BDDDE8B" w14:textId="77777777" w:rsidR="00F04808" w:rsidRDefault="00F04808" w:rsidP="00F04808">
      <w:pPr>
        <w:pStyle w:val="base-text-paragraph"/>
      </w:pPr>
      <w:r>
        <w:t>In essence, stapled structures have resulted in the unintended emergence of a dual corporate tax system that taxes foreign institutional investors in land</w:t>
      </w:r>
      <w:r>
        <w:noBreakHyphen/>
        <w:t xml:space="preserve">rich industries at rates anywhere between zero and 15 per cent. </w:t>
      </w:r>
    </w:p>
    <w:p w14:paraId="79AF402D" w14:textId="0C6D9225" w:rsidR="00F04808" w:rsidRDefault="00F04808" w:rsidP="00F04808">
      <w:pPr>
        <w:pStyle w:val="base-text-paragraph"/>
      </w:pPr>
      <w:r>
        <w:t xml:space="preserve">Therefore, the amendments made by the Making Sure Foreign Investors Pay Their Fair of Tax in Australia Bill are being modified so that they apply </w:t>
      </w:r>
      <w:r w:rsidR="00C91EAE">
        <w:t xml:space="preserve">to </w:t>
      </w:r>
      <w:r>
        <w:t xml:space="preserve">CCIVs in the same way as they apply to MITs. </w:t>
      </w:r>
    </w:p>
    <w:p w14:paraId="533DFBB4" w14:textId="77777777" w:rsidR="00F04808" w:rsidRDefault="00F04808" w:rsidP="00F04808">
      <w:pPr>
        <w:pStyle w:val="base-text-paragraph"/>
      </w:pPr>
      <w:r>
        <w:t>To achieve this, key terms in the Bill are being relabelled so that they cover both MITs and CCIVs.</w:t>
      </w:r>
    </w:p>
    <w:p w14:paraId="0BEDFDE3" w14:textId="06AD5088" w:rsidR="00F04808" w:rsidRDefault="00F04808" w:rsidP="00F04808">
      <w:pPr>
        <w:pStyle w:val="base-text-paragraph"/>
      </w:pPr>
      <w:r>
        <w:t xml:space="preserve">In particular, the 30 per cent </w:t>
      </w:r>
      <w:r w:rsidR="00BA3BD2">
        <w:t xml:space="preserve">investment vehicle </w:t>
      </w:r>
      <w:r>
        <w:t>withholding rate will apply to fund payments that are attributable to non</w:t>
      </w:r>
      <w:r>
        <w:noBreakHyphen/>
        <w:t>concessional investment vehicle income (instead of non</w:t>
      </w:r>
      <w:r>
        <w:noBreakHyphen/>
        <w:t>concessional MIT income). Non</w:t>
      </w:r>
      <w:r>
        <w:noBreakHyphen/>
        <w:t>concessional investment vehicle income consists of:</w:t>
      </w:r>
    </w:p>
    <w:p w14:paraId="4431AA9B" w14:textId="77777777" w:rsidR="00F04808" w:rsidRDefault="00F04808" w:rsidP="00F04808">
      <w:pPr>
        <w:pStyle w:val="dotpoint"/>
      </w:pPr>
      <w:r>
        <w:t>investment vehicle cross staple arrangement income (instead of MIT cross staple arrangement income);</w:t>
      </w:r>
    </w:p>
    <w:p w14:paraId="406ADE8A" w14:textId="77777777" w:rsidR="00F04808" w:rsidRDefault="00F04808" w:rsidP="00F04808">
      <w:pPr>
        <w:pStyle w:val="dotpoint"/>
      </w:pPr>
      <w:r>
        <w:t>investment vehicle trading trust income (instead of MIT trading trust income);</w:t>
      </w:r>
    </w:p>
    <w:p w14:paraId="5EE832FE" w14:textId="77777777" w:rsidR="00F04808" w:rsidRDefault="00F04808" w:rsidP="00F04808">
      <w:pPr>
        <w:pStyle w:val="dotpoint"/>
      </w:pPr>
      <w:r>
        <w:t>investment vehicle agricultural income (instead of MIT agricultural income); and</w:t>
      </w:r>
    </w:p>
    <w:p w14:paraId="0CF91278" w14:textId="77777777" w:rsidR="00F04808" w:rsidRDefault="00F04808" w:rsidP="00F04808">
      <w:pPr>
        <w:pStyle w:val="dotpoint"/>
      </w:pPr>
      <w:proofErr w:type="gramStart"/>
      <w:r>
        <w:t>investment</w:t>
      </w:r>
      <w:proofErr w:type="gramEnd"/>
      <w:r>
        <w:t xml:space="preserve"> vehicle residential housing income (instead of MIT residential housing income).</w:t>
      </w:r>
    </w:p>
    <w:p w14:paraId="4A46310D" w14:textId="77777777" w:rsidR="00F04808" w:rsidRDefault="00F04808" w:rsidP="00F04808">
      <w:pPr>
        <w:pStyle w:val="base-text-paragraphnonumbers"/>
      </w:pPr>
      <w:r>
        <w:rPr>
          <w:rStyle w:val="Referencingstyle"/>
        </w:rPr>
        <w:t>[Schedule 8</w:t>
      </w:r>
      <w:r w:rsidRPr="00BF3D02">
        <w:rPr>
          <w:rStyle w:val="Referencingstyle"/>
        </w:rPr>
        <w:t xml:space="preserve">, </w:t>
      </w:r>
      <w:r>
        <w:rPr>
          <w:rStyle w:val="Referencingstyle"/>
        </w:rPr>
        <w:t>items 13 to 15, 24, 27 to 42, 74 to 79, 83 to 86 and 90 to 94, definitions of ‘</w:t>
      </w:r>
      <w:r w:rsidRPr="0082055A">
        <w:rPr>
          <w:rStyle w:val="Referencingstyle"/>
        </w:rPr>
        <w:t>investm</w:t>
      </w:r>
      <w:r>
        <w:rPr>
          <w:rStyle w:val="Referencingstyle"/>
        </w:rPr>
        <w:t>ent vehicle agricultural income’, ‘</w:t>
      </w:r>
      <w:r w:rsidRPr="0082055A">
        <w:rPr>
          <w:rStyle w:val="Referencingstyle"/>
        </w:rPr>
        <w:t xml:space="preserve">investment vehicle </w:t>
      </w:r>
      <w:r>
        <w:rPr>
          <w:rStyle w:val="Referencingstyle"/>
        </w:rPr>
        <w:t>cross staple arrangement income’, ‘</w:t>
      </w:r>
      <w:r w:rsidRPr="0082055A">
        <w:rPr>
          <w:rStyle w:val="Referencingstyle"/>
        </w:rPr>
        <w:t>investment veh</w:t>
      </w:r>
      <w:r>
        <w:rPr>
          <w:rStyle w:val="Referencingstyle"/>
        </w:rPr>
        <w:t xml:space="preserve">icle residential housing income’, </w:t>
      </w:r>
      <w:r w:rsidRPr="0082055A">
        <w:rPr>
          <w:rStyle w:val="Referencingstyle"/>
        </w:rPr>
        <w:t>investme</w:t>
      </w:r>
      <w:r>
        <w:rPr>
          <w:rStyle w:val="Referencingstyle"/>
        </w:rPr>
        <w:t>nt vehicle trading trust income’ and ‘non</w:t>
      </w:r>
      <w:r>
        <w:rPr>
          <w:rStyle w:val="Referencingstyle"/>
        </w:rPr>
        <w:noBreakHyphen/>
      </w:r>
      <w:r w:rsidRPr="0082055A">
        <w:rPr>
          <w:rStyle w:val="Referencingstyle"/>
        </w:rPr>
        <w:t>concessional investment vehicle income</w:t>
      </w:r>
      <w:r>
        <w:rPr>
          <w:rStyle w:val="Referencingstyle"/>
        </w:rPr>
        <w:t>’ in subsection 995</w:t>
      </w:r>
      <w:r>
        <w:rPr>
          <w:rStyle w:val="Referencingstyle"/>
        </w:rPr>
        <w:noBreakHyphen/>
      </w:r>
      <w:proofErr w:type="gramStart"/>
      <w:r>
        <w:rPr>
          <w:rStyle w:val="Referencingstyle"/>
        </w:rPr>
        <w:t>1(</w:t>
      </w:r>
      <w:proofErr w:type="gramEnd"/>
      <w:r>
        <w:rPr>
          <w:rStyle w:val="Referencingstyle"/>
        </w:rPr>
        <w:t>1) of the ITAA 1997; sections 12</w:t>
      </w:r>
      <w:r>
        <w:rPr>
          <w:rStyle w:val="Referencingstyle"/>
        </w:rPr>
        <w:noBreakHyphen/>
        <w:t>435, 12</w:t>
      </w:r>
      <w:r>
        <w:rPr>
          <w:rStyle w:val="Referencingstyle"/>
        </w:rPr>
        <w:noBreakHyphen/>
        <w:t>437, 12</w:t>
      </w:r>
      <w:r>
        <w:rPr>
          <w:rStyle w:val="Referencingstyle"/>
        </w:rPr>
        <w:noBreakHyphen/>
        <w:t>446, 12</w:t>
      </w:r>
      <w:r>
        <w:rPr>
          <w:rStyle w:val="Referencingstyle"/>
        </w:rPr>
        <w:noBreakHyphen/>
        <w:t>448 and 12</w:t>
      </w:r>
      <w:r>
        <w:rPr>
          <w:rStyle w:val="Referencingstyle"/>
        </w:rPr>
        <w:noBreakHyphen/>
        <w:t>450 in</w:t>
      </w:r>
      <w:r w:rsidRPr="00BF3D02">
        <w:rPr>
          <w:rStyle w:val="Referencingstyle"/>
        </w:rPr>
        <w:t xml:space="preserve"> Schedule 1 to the TAA 1953]</w:t>
      </w:r>
    </w:p>
    <w:p w14:paraId="01D4A70E" w14:textId="77777777" w:rsidR="00F04808" w:rsidRDefault="00F04808" w:rsidP="00F04808">
      <w:pPr>
        <w:pStyle w:val="base-text-paragraph"/>
      </w:pPr>
      <w:r>
        <w:t xml:space="preserve">Investment vehicle cross staple arrangement income is, broadly, the assessable income of a MIT or a CCIV (where the assessable income is referable to an ASF) that is attributable to a cross staple arrangement. </w:t>
      </w:r>
    </w:p>
    <w:p w14:paraId="561963B4" w14:textId="77777777" w:rsidR="00F04808" w:rsidRDefault="00F04808" w:rsidP="00F04808">
      <w:pPr>
        <w:pStyle w:val="base-text-paragraph"/>
      </w:pPr>
      <w:r>
        <w:t xml:space="preserve">A cross staple arrangement is broadly an arrangement between an asset entity and an operating entity. A CCIV that has at least one ASF </w:t>
      </w:r>
      <w:r>
        <w:lastRenderedPageBreak/>
        <w:t xml:space="preserve">for an income year will be an asset entity for that income year. However, a CCIV cannot be an operating entity. </w:t>
      </w:r>
      <w:r>
        <w:rPr>
          <w:rStyle w:val="Referencingstyle"/>
        </w:rPr>
        <w:t>[Schedule 8</w:t>
      </w:r>
      <w:r w:rsidRPr="00BF3D02">
        <w:rPr>
          <w:rStyle w:val="Referencingstyle"/>
        </w:rPr>
        <w:t xml:space="preserve">, </w:t>
      </w:r>
      <w:r>
        <w:rPr>
          <w:rStyle w:val="Referencingstyle"/>
        </w:rPr>
        <w:t>items 25 and 26, subsections 12</w:t>
      </w:r>
      <w:r>
        <w:rPr>
          <w:rStyle w:val="Referencingstyle"/>
        </w:rPr>
        <w:noBreakHyphen/>
        <w:t>436(1) and (2) in</w:t>
      </w:r>
      <w:r w:rsidRPr="00BF3D02">
        <w:rPr>
          <w:rStyle w:val="Referencingstyle"/>
        </w:rPr>
        <w:t xml:space="preserve"> Schedule 1 to the TAA 1953]</w:t>
      </w:r>
    </w:p>
    <w:p w14:paraId="2712E343" w14:textId="7E0211EB" w:rsidR="00F04808" w:rsidRDefault="00F04808" w:rsidP="00F04808">
      <w:pPr>
        <w:pStyle w:val="base-text-paragraph"/>
      </w:pPr>
      <w:r>
        <w:t xml:space="preserve">In this regard, it is important to note that the </w:t>
      </w:r>
      <w:r w:rsidRPr="00C42F91">
        <w:rPr>
          <w:lang w:eastAsia="en-US"/>
        </w:rPr>
        <w:t>Regulatory Exposure Draft Bill</w:t>
      </w:r>
      <w:r>
        <w:t xml:space="preserve"> prevents a sub-fund of a CCIV from being able to invest in another sub-fund of the same CCIV. In addition, as an entity cannot enter into a contract with itself, a CCIV cannot enter into a contract that involves an arrangement between two of its sub</w:t>
      </w:r>
      <w:r>
        <w:noBreakHyphen/>
        <w:t>funds. Consequently, a CCIV cannot create a cross staple arrangeme</w:t>
      </w:r>
      <w:r w:rsidR="006F3A52">
        <w:t>nt between two of its sub</w:t>
      </w:r>
      <w:r w:rsidR="006F3A52">
        <w:noBreakHyphen/>
        <w:t xml:space="preserve">funds </w:t>
      </w:r>
      <w:r w:rsidR="00444118" w:rsidRPr="00142D7C">
        <w:t>(see section 1</w:t>
      </w:r>
      <w:r w:rsidR="00444118">
        <w:t>231Z</w:t>
      </w:r>
      <w:r w:rsidR="00444118" w:rsidRPr="00142D7C">
        <w:t xml:space="preserve"> of the</w:t>
      </w:r>
      <w:r w:rsidR="006F3A52">
        <w:t xml:space="preserve"> Regulatory Exposure Draft Bill</w:t>
      </w:r>
      <w:r w:rsidR="00434D0F">
        <w:t xml:space="preserve"> and paragraphs </w:t>
      </w:r>
      <w:r w:rsidR="00434D0F" w:rsidRPr="00AE4936">
        <w:t>4.78 to 4.81</w:t>
      </w:r>
      <w:r w:rsidR="00434D0F">
        <w:t xml:space="preserve"> of the </w:t>
      </w:r>
      <w:r w:rsidR="00434D0F" w:rsidRPr="00151936">
        <w:t xml:space="preserve">Regulatory Exposure Draft </w:t>
      </w:r>
      <w:r w:rsidR="00A61DDB">
        <w:t xml:space="preserve">Bill </w:t>
      </w:r>
      <w:r w:rsidR="00434D0F" w:rsidRPr="00151936">
        <w:t>Explanatory Materials</w:t>
      </w:r>
      <w:r w:rsidR="00444118" w:rsidRPr="00142D7C">
        <w:t>)</w:t>
      </w:r>
      <w:r w:rsidR="006F3A52">
        <w:t>.</w:t>
      </w:r>
    </w:p>
    <w:p w14:paraId="1AA536EB" w14:textId="4D7D2F10" w:rsidR="00F04808" w:rsidRDefault="00F04808" w:rsidP="00F04808">
      <w:pPr>
        <w:pStyle w:val="base-text-paragraph"/>
      </w:pPr>
      <w:r>
        <w:t>The remaining amendments in Schedule 8 are of a technical nature to ensure that the non</w:t>
      </w:r>
      <w:r>
        <w:noBreakHyphen/>
        <w:t xml:space="preserve">concessional investment vehicle income provisions apply to CCIVs in the same way as they apply to MITs. </w:t>
      </w:r>
      <w:r>
        <w:rPr>
          <w:rStyle w:val="Referencingstyle"/>
        </w:rPr>
        <w:t>[Schedule 8</w:t>
      </w:r>
      <w:r w:rsidRPr="00BF3D02">
        <w:rPr>
          <w:rStyle w:val="Referencingstyle"/>
        </w:rPr>
        <w:t xml:space="preserve">, </w:t>
      </w:r>
      <w:r>
        <w:rPr>
          <w:rStyle w:val="Referencingstyle"/>
        </w:rPr>
        <w:t>items 1 to 12, 16 to 23, 43 to 73, 80 to 82, 87 to 89 and 95 to 100, sections 25</w:t>
      </w:r>
      <w:r>
        <w:rPr>
          <w:rStyle w:val="Referencingstyle"/>
        </w:rPr>
        <w:noBreakHyphen/>
        <w:t>115, 25</w:t>
      </w:r>
      <w:r>
        <w:rPr>
          <w:rStyle w:val="Referencingstyle"/>
        </w:rPr>
        <w:noBreakHyphen/>
        <w:t>120, 275</w:t>
      </w:r>
      <w:r>
        <w:rPr>
          <w:rStyle w:val="Referencingstyle"/>
        </w:rPr>
        <w:noBreakHyphen/>
        <w:t>610, 275</w:t>
      </w:r>
      <w:r>
        <w:rPr>
          <w:rStyle w:val="Referencingstyle"/>
        </w:rPr>
        <w:noBreakHyphen/>
        <w:t>615, 276</w:t>
      </w:r>
      <w:r>
        <w:rPr>
          <w:rStyle w:val="Referencingstyle"/>
        </w:rPr>
        <w:noBreakHyphen/>
        <w:t>441, 276</w:t>
      </w:r>
      <w:r>
        <w:rPr>
          <w:rStyle w:val="Referencingstyle"/>
        </w:rPr>
        <w:noBreakHyphen/>
        <w:t>443, 880</w:t>
      </w:r>
      <w:r>
        <w:rPr>
          <w:rStyle w:val="Referencingstyle"/>
        </w:rPr>
        <w:noBreakHyphen/>
        <w:t>105 and the definitions of ‘excepted investment vehicle CSA income’ and ‘referable’ in subsection 995</w:t>
      </w:r>
      <w:r>
        <w:rPr>
          <w:rStyle w:val="Referencingstyle"/>
        </w:rPr>
        <w:noBreakHyphen/>
        <w:t>1 of the ITAA 1997;</w:t>
      </w:r>
      <w:r w:rsidR="00C91EAE">
        <w:rPr>
          <w:rStyle w:val="Referencingstyle"/>
        </w:rPr>
        <w:t xml:space="preserve"> sections 12</w:t>
      </w:r>
      <w:r w:rsidR="00C91EAE">
        <w:rPr>
          <w:rStyle w:val="Referencingstyle"/>
        </w:rPr>
        <w:noBreakHyphen/>
        <w:t>385, 12</w:t>
      </w:r>
      <w:r w:rsidR="00C91EAE">
        <w:rPr>
          <w:rStyle w:val="Referencingstyle"/>
        </w:rPr>
        <w:noBreakHyphen/>
        <w:t>395,</w:t>
      </w:r>
      <w:r>
        <w:rPr>
          <w:rStyle w:val="Referencingstyle"/>
        </w:rPr>
        <w:t xml:space="preserve"> 12</w:t>
      </w:r>
      <w:r>
        <w:rPr>
          <w:rStyle w:val="Referencingstyle"/>
        </w:rPr>
        <w:noBreakHyphen/>
        <w:t>438, 12</w:t>
      </w:r>
      <w:r>
        <w:rPr>
          <w:rStyle w:val="Referencingstyle"/>
        </w:rPr>
        <w:noBreakHyphen/>
        <w:t>439, 12</w:t>
      </w:r>
      <w:r>
        <w:rPr>
          <w:rStyle w:val="Referencingstyle"/>
        </w:rPr>
        <w:noBreakHyphen/>
        <w:t>440, 12</w:t>
      </w:r>
      <w:r>
        <w:rPr>
          <w:rStyle w:val="Referencingstyle"/>
        </w:rPr>
        <w:noBreakHyphen/>
        <w:t>441, 12</w:t>
      </w:r>
      <w:r>
        <w:rPr>
          <w:rStyle w:val="Referencingstyle"/>
        </w:rPr>
        <w:noBreakHyphen/>
        <w:t>442, 12</w:t>
      </w:r>
      <w:r>
        <w:rPr>
          <w:rStyle w:val="Referencingstyle"/>
        </w:rPr>
        <w:noBreakHyphen/>
        <w:t>443, 12</w:t>
      </w:r>
      <w:r>
        <w:rPr>
          <w:rStyle w:val="Referencingstyle"/>
        </w:rPr>
        <w:noBreakHyphen/>
        <w:t>444, 12</w:t>
      </w:r>
      <w:r>
        <w:rPr>
          <w:rStyle w:val="Referencingstyle"/>
        </w:rPr>
        <w:noBreakHyphen/>
        <w:t>445, 12</w:t>
      </w:r>
      <w:r>
        <w:rPr>
          <w:rStyle w:val="Referencingstyle"/>
        </w:rPr>
        <w:noBreakHyphen/>
        <w:t>447, 12</w:t>
      </w:r>
      <w:r>
        <w:rPr>
          <w:rStyle w:val="Referencingstyle"/>
        </w:rPr>
        <w:noBreakHyphen/>
        <w:t>449, 12</w:t>
      </w:r>
      <w:r>
        <w:rPr>
          <w:rStyle w:val="Referencingstyle"/>
        </w:rPr>
        <w:noBreakHyphen/>
        <w:t>451, and 12</w:t>
      </w:r>
      <w:r>
        <w:rPr>
          <w:rStyle w:val="Referencingstyle"/>
        </w:rPr>
        <w:noBreakHyphen/>
        <w:t>453 in</w:t>
      </w:r>
      <w:r w:rsidR="0075675F">
        <w:rPr>
          <w:rStyle w:val="Referencingstyle"/>
        </w:rPr>
        <w:t xml:space="preserve"> Schedule </w:t>
      </w:r>
      <w:r w:rsidRPr="00BF3D02">
        <w:rPr>
          <w:rStyle w:val="Referencingstyle"/>
        </w:rPr>
        <w:t>1 to the TAA 1953</w:t>
      </w:r>
      <w:r>
        <w:rPr>
          <w:rStyle w:val="Referencingstyle"/>
        </w:rPr>
        <w:t xml:space="preserve">; item 16 in Schedule 1 to the </w:t>
      </w:r>
      <w:r w:rsidRPr="008257F7">
        <w:rPr>
          <w:rStyle w:val="Referencingstyle"/>
        </w:rPr>
        <w:t>Making Sure Foreign Investors Pay Their Fair of Tax in Australia Bill</w:t>
      </w:r>
      <w:r>
        <w:rPr>
          <w:rStyle w:val="Referencingstyle"/>
        </w:rPr>
        <w:t>; section</w:t>
      </w:r>
      <w:r w:rsidR="00C91EAE">
        <w:rPr>
          <w:rStyle w:val="Referencingstyle"/>
        </w:rPr>
        <w:t>s</w:t>
      </w:r>
      <w:r>
        <w:rPr>
          <w:rStyle w:val="Referencingstyle"/>
        </w:rPr>
        <w:t> 1, 2A and 4 to the Income Tax (Managed Investment Trust Withholding Tax) Act 2008</w:t>
      </w:r>
      <w:r w:rsidRPr="00BF3D02">
        <w:rPr>
          <w:rStyle w:val="Referencingstyle"/>
        </w:rPr>
        <w:t>]</w:t>
      </w:r>
    </w:p>
    <w:p w14:paraId="4F1ADD00" w14:textId="24E14018" w:rsidR="00F04808" w:rsidRPr="007C216B" w:rsidRDefault="00F04808" w:rsidP="00AE7E71">
      <w:pPr>
        <w:pStyle w:val="base-text-paragraph"/>
      </w:pPr>
      <w:r>
        <w:t>The amendments in Schedule 8 will apply only if the Making Sure Foreign Investors Pay Their Fair of Tax in Australia Bill comes into effect.</w:t>
      </w:r>
    </w:p>
    <w:p w14:paraId="5D6DE2F0" w14:textId="5BFBDB55" w:rsidR="0016134B" w:rsidRPr="002960FE" w:rsidRDefault="009912D2" w:rsidP="0016134B">
      <w:pPr>
        <w:pStyle w:val="Heading3"/>
      </w:pPr>
      <w:r>
        <w:t>Excluded sub-funds</w:t>
      </w:r>
    </w:p>
    <w:p w14:paraId="4D27BBD2" w14:textId="77777777" w:rsidR="00BA3BD2" w:rsidRDefault="00BA3BD2" w:rsidP="00BA3BD2">
      <w:pPr>
        <w:pStyle w:val="base-text-paragraph"/>
      </w:pPr>
      <w:r>
        <w:t>A sub</w:t>
      </w:r>
      <w:r>
        <w:noBreakHyphen/>
        <w:t>fund will be an excluded sub</w:t>
      </w:r>
      <w:r>
        <w:noBreakHyphen/>
        <w:t>fund if:</w:t>
      </w:r>
    </w:p>
    <w:p w14:paraId="085D397D" w14:textId="77777777" w:rsidR="00BA3BD2" w:rsidRDefault="00BA3BD2" w:rsidP="00BA3BD2">
      <w:pPr>
        <w:pStyle w:val="dotpoint"/>
      </w:pPr>
      <w:r>
        <w:t>the sub</w:t>
      </w:r>
      <w:r>
        <w:noBreakHyphen/>
        <w:t>fund was, and ceased to be, an ASF (because it fails to satisfy the ASF criteria in a particular income year); or</w:t>
      </w:r>
    </w:p>
    <w:p w14:paraId="7B732DD9" w14:textId="77777777" w:rsidR="00BA3BD2" w:rsidRDefault="00BA3BD2" w:rsidP="00BA3BD2">
      <w:pPr>
        <w:pStyle w:val="dotpoint"/>
      </w:pPr>
      <w:proofErr w:type="gramStart"/>
      <w:r>
        <w:t>the</w:t>
      </w:r>
      <w:proofErr w:type="gramEnd"/>
      <w:r>
        <w:t xml:space="preserve"> sub</w:t>
      </w:r>
      <w:r>
        <w:noBreakHyphen/>
        <w:t>fund did not become an ASF by the end of the income year in which it was established or within such further period as the Commissioner allows.</w:t>
      </w:r>
    </w:p>
    <w:p w14:paraId="0CB2DBF1" w14:textId="77777777" w:rsidR="00BA3BD2" w:rsidRDefault="00BA3BD2" w:rsidP="00BA3BD2">
      <w:pPr>
        <w:pStyle w:val="base-text-paragraphnonumbers"/>
      </w:pPr>
      <w:r>
        <w:rPr>
          <w:rStyle w:val="Referencingstyle"/>
        </w:rPr>
        <w:t>[Schedule 1, item 1</w:t>
      </w:r>
      <w:r w:rsidRPr="00BF3D02">
        <w:rPr>
          <w:rStyle w:val="Referencingstyle"/>
        </w:rPr>
        <w:t xml:space="preserve">, </w:t>
      </w:r>
      <w:r>
        <w:rPr>
          <w:rStyle w:val="Referencingstyle"/>
        </w:rPr>
        <w:t>sub</w:t>
      </w:r>
      <w:r w:rsidRPr="00BF3D02">
        <w:rPr>
          <w:rStyle w:val="Referencingstyle"/>
        </w:rPr>
        <w:t>section 276</w:t>
      </w:r>
      <w:r w:rsidRPr="00BF3D02">
        <w:rPr>
          <w:rStyle w:val="Referencingstyle"/>
        </w:rPr>
        <w:noBreakHyphen/>
      </w:r>
      <w:proofErr w:type="gramStart"/>
      <w:r w:rsidRPr="00BF3D02">
        <w:rPr>
          <w:rStyle w:val="Referencingstyle"/>
        </w:rPr>
        <w:t>20</w:t>
      </w:r>
      <w:r>
        <w:rPr>
          <w:rStyle w:val="Referencingstyle"/>
        </w:rPr>
        <w:t>(</w:t>
      </w:r>
      <w:proofErr w:type="gramEnd"/>
      <w:r>
        <w:rPr>
          <w:rStyle w:val="Referencingstyle"/>
        </w:rPr>
        <w:t>4)</w:t>
      </w:r>
      <w:r w:rsidRPr="00BF3D02">
        <w:rPr>
          <w:rStyle w:val="Referencingstyle"/>
        </w:rPr>
        <w:t>]</w:t>
      </w:r>
    </w:p>
    <w:p w14:paraId="5BA7E960" w14:textId="1F491014" w:rsidR="0016134B" w:rsidRPr="00BF3D02" w:rsidRDefault="0045549D" w:rsidP="0016134B">
      <w:pPr>
        <w:pStyle w:val="base-text-paragraph"/>
        <w:numPr>
          <w:ilvl w:val="1"/>
          <w:numId w:val="44"/>
        </w:numPr>
      </w:pPr>
      <w:r w:rsidRPr="00417FAF">
        <w:t xml:space="preserve">As the attribution regime </w:t>
      </w:r>
      <w:r w:rsidR="00BA3BD2" w:rsidRPr="00417FAF">
        <w:t>does not apply</w:t>
      </w:r>
      <w:r w:rsidR="0016134B" w:rsidRPr="00417FAF">
        <w:t xml:space="preserve"> to </w:t>
      </w:r>
      <w:r w:rsidR="00BA3BD2" w:rsidRPr="00417FAF">
        <w:t>an excluded sub</w:t>
      </w:r>
      <w:r w:rsidR="00BA3BD2" w:rsidRPr="00417FAF">
        <w:noBreakHyphen/>
        <w:t>fund</w:t>
      </w:r>
      <w:r w:rsidRPr="00417FAF">
        <w:t xml:space="preserve">, </w:t>
      </w:r>
      <w:r w:rsidR="00320142" w:rsidRPr="00417FAF">
        <w:t xml:space="preserve">income tax </w:t>
      </w:r>
      <w:r w:rsidR="00BA3BD2" w:rsidRPr="00417FAF">
        <w:t>is imposed</w:t>
      </w:r>
      <w:r w:rsidR="00320142" w:rsidRPr="00417FAF">
        <w:t xml:space="preserve"> on the taxable income of </w:t>
      </w:r>
      <w:r w:rsidR="001F1664" w:rsidRPr="00417FAF">
        <w:t xml:space="preserve">an excluded sub-fund </w:t>
      </w:r>
      <w:r w:rsidR="00C717A1" w:rsidRPr="00417FAF">
        <w:t xml:space="preserve">for an income year </w:t>
      </w:r>
      <w:r w:rsidR="00320142" w:rsidRPr="00417FAF">
        <w:t>a</w:t>
      </w:r>
      <w:r w:rsidR="0016134B" w:rsidRPr="00417FAF">
        <w:t xml:space="preserve">t the </w:t>
      </w:r>
      <w:r w:rsidR="00C15915" w:rsidRPr="00417FAF">
        <w:t xml:space="preserve">top </w:t>
      </w:r>
      <w:r w:rsidR="0016134B" w:rsidRPr="00417FAF">
        <w:t xml:space="preserve">corporate rate </w:t>
      </w:r>
      <w:r w:rsidR="00320142" w:rsidRPr="00417FAF">
        <w:t>(30 per cent)</w:t>
      </w:r>
      <w:r w:rsidR="00585007">
        <w:t>.</w:t>
      </w:r>
      <w:r w:rsidR="00320142" w:rsidRPr="00417FAF">
        <w:t xml:space="preserve"> </w:t>
      </w:r>
      <w:r w:rsidR="00C33A2F" w:rsidRPr="00417FAF">
        <w:rPr>
          <w:rStyle w:val="Referencingstyle"/>
        </w:rPr>
        <w:t xml:space="preserve">[Schedule </w:t>
      </w:r>
      <w:r w:rsidR="001D5D60">
        <w:rPr>
          <w:rStyle w:val="Referencingstyle"/>
        </w:rPr>
        <w:t>9</w:t>
      </w:r>
      <w:r w:rsidR="0016134B" w:rsidRPr="00417FAF">
        <w:rPr>
          <w:rStyle w:val="Referencingstyle"/>
        </w:rPr>
        <w:t>, item</w:t>
      </w:r>
      <w:r w:rsidR="00FC59E2" w:rsidRPr="00417FAF">
        <w:rPr>
          <w:rStyle w:val="Referencingstyle"/>
        </w:rPr>
        <w:t>s</w:t>
      </w:r>
      <w:r w:rsidR="00C33A2F" w:rsidRPr="00417FAF">
        <w:rPr>
          <w:rStyle w:val="Referencingstyle"/>
        </w:rPr>
        <w:t xml:space="preserve"> </w:t>
      </w:r>
      <w:r w:rsidR="001D5D60">
        <w:rPr>
          <w:rStyle w:val="Referencingstyle"/>
        </w:rPr>
        <w:t>24</w:t>
      </w:r>
      <w:r w:rsidR="00FC59E2" w:rsidRPr="00417FAF">
        <w:rPr>
          <w:rStyle w:val="Referencingstyle"/>
        </w:rPr>
        <w:t xml:space="preserve"> </w:t>
      </w:r>
      <w:r w:rsidR="00670D28" w:rsidRPr="00417FAF">
        <w:rPr>
          <w:rStyle w:val="Referencingstyle"/>
        </w:rPr>
        <w:t xml:space="preserve">and </w:t>
      </w:r>
      <w:r w:rsidR="005B1A8E" w:rsidRPr="00417FAF">
        <w:rPr>
          <w:rStyle w:val="Referencingstyle"/>
        </w:rPr>
        <w:t>2</w:t>
      </w:r>
      <w:r w:rsidR="001D5D60">
        <w:rPr>
          <w:rStyle w:val="Referencingstyle"/>
        </w:rPr>
        <w:t>5</w:t>
      </w:r>
      <w:r w:rsidR="0016134B" w:rsidRPr="00417FAF">
        <w:rPr>
          <w:rStyle w:val="Referencingstyle"/>
        </w:rPr>
        <w:t>,</w:t>
      </w:r>
      <w:r w:rsidR="00320142" w:rsidRPr="00417FAF">
        <w:rPr>
          <w:rStyle w:val="Referencingstyle"/>
        </w:rPr>
        <w:t xml:space="preserve"> subsection</w:t>
      </w:r>
      <w:r w:rsidR="005B1A8E" w:rsidRPr="00417FAF">
        <w:rPr>
          <w:rStyle w:val="Referencingstyle"/>
        </w:rPr>
        <w:t>s</w:t>
      </w:r>
      <w:r w:rsidR="00320142" w:rsidRPr="00417FAF">
        <w:rPr>
          <w:rStyle w:val="Referencingstyle"/>
        </w:rPr>
        <w:t xml:space="preserve"> 23(2) and (5A) of </w:t>
      </w:r>
      <w:r w:rsidR="00B26BCA">
        <w:rPr>
          <w:rStyle w:val="Referencingstyle"/>
        </w:rPr>
        <w:t>the Income Tax Rates Act </w:t>
      </w:r>
      <w:r w:rsidR="00320142" w:rsidRPr="00417FAF">
        <w:rPr>
          <w:rStyle w:val="Referencingstyle"/>
        </w:rPr>
        <w:t>1986</w:t>
      </w:r>
      <w:r w:rsidR="0016134B" w:rsidRPr="008C026C">
        <w:rPr>
          <w:rStyle w:val="Referencingstyle"/>
        </w:rPr>
        <w:t>]</w:t>
      </w:r>
    </w:p>
    <w:p w14:paraId="2372E811" w14:textId="10CBA09B" w:rsidR="005B1A8E" w:rsidRPr="00BF3D02" w:rsidRDefault="00BA3BD2" w:rsidP="005B1A8E">
      <w:pPr>
        <w:pStyle w:val="base-text-paragraph"/>
        <w:numPr>
          <w:ilvl w:val="1"/>
          <w:numId w:val="44"/>
        </w:numPr>
      </w:pPr>
      <w:r>
        <w:t>Further</w:t>
      </w:r>
      <w:r w:rsidR="005B1A8E">
        <w:t>, a</w:t>
      </w:r>
      <w:r>
        <w:t>s</w:t>
      </w:r>
      <w:r w:rsidR="005B1A8E">
        <w:t xml:space="preserve"> a CCIV </w:t>
      </w:r>
      <w:r w:rsidR="005B1A8E" w:rsidRPr="00BF3D02">
        <w:t xml:space="preserve">is not </w:t>
      </w:r>
      <w:r w:rsidR="005B1A8E">
        <w:t>a franking entity</w:t>
      </w:r>
      <w:r>
        <w:t>, the CCIV</w:t>
      </w:r>
      <w:r w:rsidR="005B1A8E">
        <w:t xml:space="preserve"> can</w:t>
      </w:r>
      <w:r w:rsidR="005B1A8E" w:rsidRPr="00BF3D02">
        <w:t xml:space="preserve">not </w:t>
      </w:r>
      <w:r w:rsidR="005B1A8E">
        <w:t>frank distributions to</w:t>
      </w:r>
      <w:r w:rsidR="005B1A8E" w:rsidRPr="00BF3D02">
        <w:t xml:space="preserve"> </w:t>
      </w:r>
      <w:r w:rsidR="001F1664">
        <w:t>the</w:t>
      </w:r>
      <w:r w:rsidR="005B1A8E">
        <w:t xml:space="preserve"> </w:t>
      </w:r>
      <w:r w:rsidR="005B1A8E" w:rsidRPr="00BF3D02">
        <w:t>members</w:t>
      </w:r>
      <w:r w:rsidR="001F1664">
        <w:t xml:space="preserve"> of the excluded sub-fund</w:t>
      </w:r>
      <w:r w:rsidR="005B1A8E">
        <w:t xml:space="preserve">. </w:t>
      </w:r>
      <w:r w:rsidR="00AD1B4B">
        <w:rPr>
          <w:rStyle w:val="Referencingstyle"/>
        </w:rPr>
        <w:t>[Schedule 9</w:t>
      </w:r>
      <w:r w:rsidR="005B1A8E">
        <w:rPr>
          <w:rStyle w:val="Referencingstyle"/>
        </w:rPr>
        <w:t xml:space="preserve">, items </w:t>
      </w:r>
      <w:r w:rsidR="00367963">
        <w:rPr>
          <w:rStyle w:val="Referencingstyle"/>
        </w:rPr>
        <w:t>17 and 18</w:t>
      </w:r>
      <w:r w:rsidR="005B1A8E" w:rsidRPr="00445147">
        <w:rPr>
          <w:rStyle w:val="Referencingstyle"/>
        </w:rPr>
        <w:t>,</w:t>
      </w:r>
      <w:r w:rsidR="005B1A8E">
        <w:rPr>
          <w:rStyle w:val="Referencingstyle"/>
        </w:rPr>
        <w:t xml:space="preserve"> paragraphs 202-15(</w:t>
      </w:r>
      <w:proofErr w:type="spellStart"/>
      <w:r w:rsidR="005B1A8E">
        <w:rPr>
          <w:rStyle w:val="Referencingstyle"/>
        </w:rPr>
        <w:t>ba</w:t>
      </w:r>
      <w:proofErr w:type="spellEnd"/>
      <w:r w:rsidR="005B1A8E">
        <w:rPr>
          <w:rStyle w:val="Referencingstyle"/>
        </w:rPr>
        <w:t>) and 202-45(k) of the ITAA 1997</w:t>
      </w:r>
      <w:r w:rsidR="005B1A8E" w:rsidRPr="008C026C">
        <w:rPr>
          <w:rStyle w:val="Referencingstyle"/>
        </w:rPr>
        <w:t>]</w:t>
      </w:r>
    </w:p>
    <w:p w14:paraId="53B1000F" w14:textId="0E7037D5" w:rsidR="0016134B" w:rsidRPr="00BF3D02" w:rsidRDefault="0016134B" w:rsidP="0016134B">
      <w:pPr>
        <w:pStyle w:val="base-text-paragraph"/>
        <w:numPr>
          <w:ilvl w:val="1"/>
          <w:numId w:val="44"/>
        </w:numPr>
      </w:pPr>
      <w:r w:rsidRPr="00BF3D02">
        <w:lastRenderedPageBreak/>
        <w:t xml:space="preserve">This approach is consistent with the policy intent of the CCIV </w:t>
      </w:r>
      <w:r>
        <w:t xml:space="preserve">regime </w:t>
      </w:r>
      <w:r w:rsidRPr="00BF3D02">
        <w:t>which is to introduce a tax framework for a more internationally recognisable primarily passive investment vehicle that provides flow</w:t>
      </w:r>
      <w:r w:rsidRPr="00BF3D02">
        <w:noBreakHyphen/>
        <w:t>through taxation treatment</w:t>
      </w:r>
      <w:r w:rsidR="00E53635">
        <w:t>.</w:t>
      </w:r>
      <w:r w:rsidRPr="00BF3D02">
        <w:t xml:space="preserve"> </w:t>
      </w:r>
    </w:p>
    <w:p w14:paraId="485C26C6" w14:textId="77AADA26" w:rsidR="0016134B" w:rsidRPr="00BF3D02" w:rsidRDefault="0016134B" w:rsidP="0016134B">
      <w:pPr>
        <w:pStyle w:val="base-text-paragraph"/>
        <w:numPr>
          <w:ilvl w:val="1"/>
          <w:numId w:val="44"/>
        </w:numPr>
      </w:pPr>
      <w:r w:rsidRPr="00BF3D02">
        <w:t xml:space="preserve">To the extent a </w:t>
      </w:r>
      <w:r w:rsidR="00D61DBC">
        <w:t>sub-fund of a CCIV</w:t>
      </w:r>
      <w:r w:rsidRPr="00BF3D02">
        <w:t xml:space="preserve"> fails to meet the A</w:t>
      </w:r>
      <w:r w:rsidR="00D61DBC">
        <w:t>SF</w:t>
      </w:r>
      <w:r w:rsidRPr="00BF3D02">
        <w:t xml:space="preserve"> eligibili</w:t>
      </w:r>
      <w:r>
        <w:t>ty (i.e. it is not a flow-</w:t>
      </w:r>
      <w:r w:rsidRPr="00BF3D02">
        <w:t xml:space="preserve">through vehicle), it is not appropriate to have </w:t>
      </w:r>
      <w:r w:rsidR="00D61DBC">
        <w:t>a sub-fund of a CCIV</w:t>
      </w:r>
      <w:r w:rsidRPr="00BF3D02">
        <w:t xml:space="preserve"> being taxed like a trust.</w:t>
      </w:r>
    </w:p>
    <w:p w14:paraId="48414E50" w14:textId="511174A6" w:rsidR="00B427FB" w:rsidRPr="00972C9D" w:rsidRDefault="00A42A70" w:rsidP="0016134B">
      <w:pPr>
        <w:pStyle w:val="base-text-paragraph"/>
        <w:rPr>
          <w:rStyle w:val="Referencingstyle"/>
          <w:b w:val="0"/>
          <w:i w:val="0"/>
          <w:sz w:val="22"/>
        </w:rPr>
      </w:pPr>
      <w:r>
        <w:t>Further, w</w:t>
      </w:r>
      <w:r w:rsidR="00E245FB">
        <w:t>here a sub-fund</w:t>
      </w:r>
      <w:r w:rsidR="00027AE0" w:rsidRPr="006A0FA6">
        <w:t xml:space="preserve"> ceases to be an ASF, it will </w:t>
      </w:r>
      <w:r w:rsidR="005C0B60">
        <w:t xml:space="preserve">not </w:t>
      </w:r>
      <w:r w:rsidR="00585007">
        <w:t xml:space="preserve">be able to </w:t>
      </w:r>
      <w:r w:rsidR="005C0B60">
        <w:t>qualify as an ASF again</w:t>
      </w:r>
      <w:r w:rsidR="00027AE0" w:rsidRPr="006A0FA6">
        <w:t xml:space="preserve">. </w:t>
      </w:r>
      <w:r w:rsidR="00C33A2F">
        <w:rPr>
          <w:rStyle w:val="Referencingstyle"/>
        </w:rPr>
        <w:t>[Schedule 1, item 1, paragraph</w:t>
      </w:r>
      <w:r w:rsidR="00BA3BD2">
        <w:rPr>
          <w:rStyle w:val="Referencingstyle"/>
        </w:rPr>
        <w:t> </w:t>
      </w:r>
      <w:r w:rsidR="00C33A2F">
        <w:rPr>
          <w:rStyle w:val="Referencingstyle"/>
        </w:rPr>
        <w:t>276</w:t>
      </w:r>
      <w:r w:rsidR="00BA3BD2">
        <w:rPr>
          <w:rStyle w:val="Referencingstyle"/>
        </w:rPr>
        <w:noBreakHyphen/>
      </w:r>
      <w:r w:rsidR="00C33A2F">
        <w:rPr>
          <w:rStyle w:val="Referencingstyle"/>
        </w:rPr>
        <w:t>20(1)(d)]</w:t>
      </w:r>
    </w:p>
    <w:p w14:paraId="17F4BC3F" w14:textId="40D32C9E" w:rsidR="000C2E18" w:rsidRDefault="000C2E18" w:rsidP="00156DA9">
      <w:pPr>
        <w:pStyle w:val="Heading4"/>
      </w:pPr>
      <w:r>
        <w:t>Roll</w:t>
      </w:r>
      <w:r w:rsidR="0097418B">
        <w:t>-</w:t>
      </w:r>
      <w:r>
        <w:t>over</w:t>
      </w:r>
      <w:r w:rsidR="00D72396">
        <w:t xml:space="preserve"> for excluded sub-fund</w:t>
      </w:r>
      <w:r w:rsidR="00156DA9">
        <w:t>s</w:t>
      </w:r>
    </w:p>
    <w:p w14:paraId="26C64009" w14:textId="25B4DB73" w:rsidR="0055467D" w:rsidRDefault="0045549D" w:rsidP="009912D2">
      <w:pPr>
        <w:pStyle w:val="base-text-paragraph"/>
      </w:pPr>
      <w:r>
        <w:t>T</w:t>
      </w:r>
      <w:r w:rsidR="00E245FB">
        <w:t xml:space="preserve">he policy </w:t>
      </w:r>
      <w:r w:rsidR="0055467D">
        <w:t>objective</w:t>
      </w:r>
      <w:r w:rsidR="00E245FB">
        <w:t xml:space="preserve"> of the CCIV tax framework is </w:t>
      </w:r>
      <w:r w:rsidR="0055467D">
        <w:t>to apply</w:t>
      </w:r>
      <w:r w:rsidR="00E245FB">
        <w:t xml:space="preserve"> a ‘character flow-through’</w:t>
      </w:r>
      <w:r>
        <w:t xml:space="preserve"> model of taxation</w:t>
      </w:r>
      <w:r w:rsidR="0055467D">
        <w:t xml:space="preserve"> so that amounts flow through the CCIV to its members retaining their character</w:t>
      </w:r>
      <w:r>
        <w:t xml:space="preserve">. </w:t>
      </w:r>
      <w:r w:rsidR="0055467D">
        <w:t xml:space="preserve">This is achieved by applying the attribution regime to ASFs. </w:t>
      </w:r>
    </w:p>
    <w:p w14:paraId="17AF7493" w14:textId="52CEB708" w:rsidR="00E245FB" w:rsidRDefault="0055467D" w:rsidP="009912D2">
      <w:pPr>
        <w:pStyle w:val="base-text-paragraph"/>
      </w:pPr>
      <w:r>
        <w:t xml:space="preserve">The attribution model does not apply to </w:t>
      </w:r>
      <w:proofErr w:type="gramStart"/>
      <w:r>
        <w:t>excluded</w:t>
      </w:r>
      <w:proofErr w:type="gramEnd"/>
      <w:r>
        <w:t xml:space="preserve"> sub</w:t>
      </w:r>
      <w:r>
        <w:noBreakHyphen/>
        <w:t>funds</w:t>
      </w:r>
      <w:r w:rsidR="00BD649F">
        <w:t xml:space="preserve"> and reinforces the notion that the CCIV is a passive investment vehicle. While there </w:t>
      </w:r>
      <w:proofErr w:type="gramStart"/>
      <w:r w:rsidR="00BD649F">
        <w:t>are</w:t>
      </w:r>
      <w:proofErr w:type="gramEnd"/>
      <w:r w:rsidR="00BD649F">
        <w:t xml:space="preserve"> safe-harbour provisions designed to prevent genuine ASFs from becoming an excluded sub-fund</w:t>
      </w:r>
      <w:r>
        <w:t xml:space="preserve">, </w:t>
      </w:r>
      <w:r w:rsidR="00E245FB">
        <w:t xml:space="preserve">a </w:t>
      </w:r>
      <w:r w:rsidR="0045549D">
        <w:t xml:space="preserve">CGT </w:t>
      </w:r>
      <w:r w:rsidR="00E245FB">
        <w:t>roll-over is available to</w:t>
      </w:r>
      <w:r w:rsidR="0045549D">
        <w:t xml:space="preserve"> </w:t>
      </w:r>
      <w:r>
        <w:t xml:space="preserve">facilitate the transfer of the assets of </w:t>
      </w:r>
      <w:r w:rsidR="0045549D">
        <w:t>an</w:t>
      </w:r>
      <w:r w:rsidR="00E245FB">
        <w:t xml:space="preserve"> excluded </w:t>
      </w:r>
      <w:r w:rsidR="0045549D">
        <w:t>sub-fund</w:t>
      </w:r>
      <w:r w:rsidR="00E245FB">
        <w:t xml:space="preserve"> of </w:t>
      </w:r>
      <w:r>
        <w:t>a</w:t>
      </w:r>
      <w:r w:rsidR="00E245FB">
        <w:t xml:space="preserve"> CCIV</w:t>
      </w:r>
      <w:r w:rsidR="0045549D">
        <w:t xml:space="preserve"> </w:t>
      </w:r>
      <w:r w:rsidR="00E245FB">
        <w:t xml:space="preserve">to </w:t>
      </w:r>
      <w:r>
        <w:t>an ordinary company</w:t>
      </w:r>
      <w:r w:rsidR="00BD649F">
        <w:t xml:space="preserve"> that is not a CCIV</w:t>
      </w:r>
      <w:r w:rsidR="00E245FB">
        <w:t xml:space="preserve">. </w:t>
      </w:r>
    </w:p>
    <w:p w14:paraId="67959264" w14:textId="5328A9DE" w:rsidR="009912D2" w:rsidRDefault="00D72396" w:rsidP="009912D2">
      <w:pPr>
        <w:pStyle w:val="base-text-paragraph"/>
      </w:pPr>
      <w:r>
        <w:t xml:space="preserve">Schedule 6 to the Exposure Draft </w:t>
      </w:r>
      <w:r w:rsidRPr="00C42F91">
        <w:t>Bill</w:t>
      </w:r>
      <w:r>
        <w:t xml:space="preserve"> inserts S</w:t>
      </w:r>
      <w:r w:rsidRPr="00744FCC">
        <w:t>ubdivision</w:t>
      </w:r>
      <w:r w:rsidR="0055467D">
        <w:t> </w:t>
      </w:r>
      <w:r>
        <w:t>124</w:t>
      </w:r>
      <w:r w:rsidR="0055467D">
        <w:noBreakHyphen/>
      </w:r>
      <w:r>
        <w:t>NA, which applies to an excluded sub-fund</w:t>
      </w:r>
      <w:r w:rsidR="00662E45">
        <w:t xml:space="preserve"> which</w:t>
      </w:r>
      <w:r>
        <w:t xml:space="preserve"> restructures as </w:t>
      </w:r>
      <w:r w:rsidR="002717CE">
        <w:t xml:space="preserve">a </w:t>
      </w:r>
      <w:r>
        <w:t xml:space="preserve">company that is not a CCIV. </w:t>
      </w:r>
    </w:p>
    <w:p w14:paraId="0CA40CED" w14:textId="77777777" w:rsidR="0045549D" w:rsidRDefault="0045549D" w:rsidP="0045549D">
      <w:pPr>
        <w:pStyle w:val="base-text-paragraph"/>
        <w:numPr>
          <w:ilvl w:val="1"/>
          <w:numId w:val="44"/>
        </w:numPr>
      </w:pPr>
      <w:r>
        <w:t xml:space="preserve">Broadly, the </w:t>
      </w:r>
      <w:r w:rsidRPr="00744FCC">
        <w:t xml:space="preserve">restructuring relief </w:t>
      </w:r>
      <w:r>
        <w:t xml:space="preserve">relates to: </w:t>
      </w:r>
    </w:p>
    <w:p w14:paraId="0C90868A" w14:textId="078D1D48" w:rsidR="0045549D" w:rsidRDefault="0045549D" w:rsidP="0045549D">
      <w:pPr>
        <w:pStyle w:val="dotpoint"/>
      </w:pPr>
      <w:r w:rsidRPr="002D44D3">
        <w:t>CGT roll</w:t>
      </w:r>
      <w:r w:rsidR="00051F19">
        <w:noBreakHyphen/>
      </w:r>
      <w:r w:rsidRPr="002D44D3">
        <w:t xml:space="preserve">over </w:t>
      </w:r>
      <w:r w:rsidR="00051F19">
        <w:t xml:space="preserve">relief for the CCIV in relation to </w:t>
      </w:r>
      <w:r w:rsidRPr="002D44D3">
        <w:t xml:space="preserve">assets </w:t>
      </w:r>
      <w:r w:rsidR="00C819F6">
        <w:t>referable to the excluded sub</w:t>
      </w:r>
      <w:r w:rsidR="00051F19">
        <w:noBreakHyphen/>
      </w:r>
      <w:r w:rsidR="00C819F6">
        <w:t xml:space="preserve">fund; and  </w:t>
      </w:r>
    </w:p>
    <w:p w14:paraId="1F861694" w14:textId="569C9AE2" w:rsidR="0045549D" w:rsidRDefault="0045549D" w:rsidP="0045549D">
      <w:pPr>
        <w:pStyle w:val="dotpoint"/>
      </w:pPr>
      <w:r>
        <w:t xml:space="preserve">CGT roll-over relief for </w:t>
      </w:r>
      <w:r w:rsidRPr="002D44D3">
        <w:t xml:space="preserve">the owner of </w:t>
      </w:r>
      <w:r>
        <w:t>membership</w:t>
      </w:r>
      <w:r w:rsidR="00C819F6">
        <w:t xml:space="preserve"> interests in the CCIV</w:t>
      </w:r>
      <w:r w:rsidR="00051F19">
        <w:t xml:space="preserve"> </w:t>
      </w:r>
      <w:proofErr w:type="gramStart"/>
      <w:r w:rsidR="00051F19">
        <w:t>that are</w:t>
      </w:r>
      <w:proofErr w:type="gramEnd"/>
      <w:r w:rsidR="00C819F6">
        <w:t xml:space="preserve"> referable to the excluded sub-fund.</w:t>
      </w:r>
    </w:p>
    <w:p w14:paraId="5D76CEB5" w14:textId="00CFBA02" w:rsidR="00D21D8E" w:rsidRDefault="00D21D8E" w:rsidP="00972C9D">
      <w:pPr>
        <w:pStyle w:val="Heading5"/>
      </w:pPr>
      <w:r>
        <w:t xml:space="preserve">Requirements to qualify for </w:t>
      </w:r>
      <w:r w:rsidR="00447505">
        <w:t>restructuring</w:t>
      </w:r>
      <w:r>
        <w:t xml:space="preserve"> </w:t>
      </w:r>
      <w:r w:rsidRPr="00744FCC">
        <w:t>relief</w:t>
      </w:r>
    </w:p>
    <w:p w14:paraId="71985BFD" w14:textId="2F636E9B" w:rsidR="00447505" w:rsidRDefault="00447505" w:rsidP="00447505">
      <w:pPr>
        <w:pStyle w:val="base-text-paragraph"/>
        <w:numPr>
          <w:ilvl w:val="1"/>
          <w:numId w:val="44"/>
        </w:numPr>
      </w:pPr>
      <w:r>
        <w:t xml:space="preserve">The </w:t>
      </w:r>
      <w:r w:rsidRPr="00744FCC">
        <w:t xml:space="preserve">restructuring relief </w:t>
      </w:r>
      <w:r>
        <w:t xml:space="preserve">will apply </w:t>
      </w:r>
      <w:r w:rsidR="00051F19">
        <w:t xml:space="preserve">only </w:t>
      </w:r>
      <w:r>
        <w:t xml:space="preserve">where the restructure is on a ‘like for like’ basis. Therefore, to qualify for </w:t>
      </w:r>
      <w:r w:rsidRPr="00744FCC">
        <w:t>restructuring relief</w:t>
      </w:r>
      <w:r>
        <w:t>, shares in the company that is not a CCIV must be issued to the members in proportion to their holdings of shares referable to the</w:t>
      </w:r>
      <w:r w:rsidR="006E7D53">
        <w:t xml:space="preserve"> excluded sub-fund of the CCIV.</w:t>
      </w:r>
    </w:p>
    <w:p w14:paraId="3B25EA2A" w14:textId="62136CB7" w:rsidR="00447505" w:rsidRDefault="002717CE" w:rsidP="00447505">
      <w:pPr>
        <w:pStyle w:val="base-text-paragraph"/>
        <w:numPr>
          <w:ilvl w:val="1"/>
          <w:numId w:val="44"/>
        </w:numPr>
      </w:pPr>
      <w:r>
        <w:t>T</w:t>
      </w:r>
      <w:r w:rsidR="00447505">
        <w:t xml:space="preserve">he </w:t>
      </w:r>
      <w:r w:rsidR="00447505" w:rsidRPr="00744FCC">
        <w:t xml:space="preserve">restructuring relief </w:t>
      </w:r>
      <w:r w:rsidR="00447505">
        <w:t xml:space="preserve">will be available </w:t>
      </w:r>
      <w:r w:rsidR="00051F19">
        <w:t>if</w:t>
      </w:r>
      <w:r w:rsidR="00447505" w:rsidRPr="00C66341">
        <w:t xml:space="preserve">: </w:t>
      </w:r>
    </w:p>
    <w:p w14:paraId="389520CE" w14:textId="2A411B3F" w:rsidR="00447505" w:rsidRDefault="00447505" w:rsidP="00447505">
      <w:pPr>
        <w:pStyle w:val="dotpoint"/>
      </w:pPr>
      <w:r>
        <w:t xml:space="preserve">under the restructure, </w:t>
      </w:r>
      <w:r w:rsidR="009F2A56">
        <w:t xml:space="preserve">the CCIV </w:t>
      </w:r>
      <w:r>
        <w:t xml:space="preserve">disposes of all of its assets </w:t>
      </w:r>
      <w:r w:rsidR="009F2A56">
        <w:t xml:space="preserve">referable to the excluded sub-fund </w:t>
      </w:r>
      <w:r>
        <w:t xml:space="preserve">to </w:t>
      </w:r>
      <w:r w:rsidR="009F2A56">
        <w:t>another company</w:t>
      </w:r>
      <w:r w:rsidR="0097418B">
        <w:t xml:space="preserve"> (except assets retained to pay debts of the excluded </w:t>
      </w:r>
      <w:r w:rsidR="0097418B">
        <w:br/>
        <w:t>sub-fund)</w:t>
      </w:r>
      <w:r>
        <w:t>;</w:t>
      </w:r>
    </w:p>
    <w:p w14:paraId="4C18469E" w14:textId="617810E6" w:rsidR="00447505" w:rsidRDefault="00447505" w:rsidP="00447505">
      <w:pPr>
        <w:pStyle w:val="dotpoint"/>
      </w:pPr>
      <w:r>
        <w:lastRenderedPageBreak/>
        <w:t xml:space="preserve">both the CCIV </w:t>
      </w:r>
      <w:r w:rsidR="009F2A56">
        <w:t xml:space="preserve">and the transferee </w:t>
      </w:r>
      <w:r>
        <w:t xml:space="preserve">choose to apply the </w:t>
      </w:r>
      <w:r w:rsidR="00051F19">
        <w:t>S</w:t>
      </w:r>
      <w:r>
        <w:t xml:space="preserve">ubdivision to the restructure; </w:t>
      </w:r>
      <w:r w:rsidR="002717CE">
        <w:t xml:space="preserve">and </w:t>
      </w:r>
    </w:p>
    <w:p w14:paraId="4EC20994" w14:textId="74DCFF58" w:rsidR="002717CE" w:rsidRDefault="002717CE" w:rsidP="002717CE">
      <w:pPr>
        <w:pStyle w:val="dotpoint"/>
      </w:pPr>
      <w:proofErr w:type="gramStart"/>
      <w:r>
        <w:t>the</w:t>
      </w:r>
      <w:proofErr w:type="gramEnd"/>
      <w:r>
        <w:t xml:space="preserve"> requirements for the </w:t>
      </w:r>
      <w:r w:rsidR="00280C3A">
        <w:t xml:space="preserve">CGT </w:t>
      </w:r>
      <w:r>
        <w:t xml:space="preserve">rollover are satisfied. </w:t>
      </w:r>
    </w:p>
    <w:p w14:paraId="28ABD531" w14:textId="631E848D" w:rsidR="002717CE" w:rsidRPr="002717CE" w:rsidRDefault="002717CE" w:rsidP="002717CE">
      <w:pPr>
        <w:pStyle w:val="base-text-paragraphnonumbers"/>
        <w:rPr>
          <w:b/>
          <w:i/>
          <w:sz w:val="18"/>
        </w:rPr>
      </w:pPr>
      <w:r>
        <w:rPr>
          <w:rStyle w:val="Referencingstyle"/>
        </w:rPr>
        <w:t xml:space="preserve">[Schedule 6, item 12, </w:t>
      </w:r>
      <w:proofErr w:type="gramStart"/>
      <w:r>
        <w:rPr>
          <w:rStyle w:val="Referencingstyle"/>
        </w:rPr>
        <w:t>section</w:t>
      </w:r>
      <w:proofErr w:type="gramEnd"/>
      <w:r>
        <w:rPr>
          <w:rStyle w:val="Referencingstyle"/>
        </w:rPr>
        <w:t xml:space="preserve"> 124-940</w:t>
      </w:r>
      <w:r w:rsidRPr="00BF3D02">
        <w:rPr>
          <w:rStyle w:val="Referencingstyle"/>
        </w:rPr>
        <w:t>]</w:t>
      </w:r>
    </w:p>
    <w:p w14:paraId="25238A75" w14:textId="2AD9FB58" w:rsidR="002717CE" w:rsidRDefault="002717CE" w:rsidP="00972C9D">
      <w:pPr>
        <w:pStyle w:val="Heading5"/>
      </w:pPr>
      <w:r>
        <w:t xml:space="preserve">Requirements for </w:t>
      </w:r>
      <w:r w:rsidR="00280C3A">
        <w:t xml:space="preserve">CGT </w:t>
      </w:r>
      <w:r>
        <w:t>roll-over</w:t>
      </w:r>
    </w:p>
    <w:p w14:paraId="6DE83FEB" w14:textId="7459E3BC" w:rsidR="00C7712E" w:rsidRPr="00C7712E" w:rsidRDefault="002717CE" w:rsidP="00C7712E">
      <w:pPr>
        <w:pStyle w:val="base-text-paragraph"/>
        <w:numPr>
          <w:ilvl w:val="1"/>
          <w:numId w:val="44"/>
        </w:numPr>
        <w:rPr>
          <w:rStyle w:val="Referencingstyle"/>
          <w:b w:val="0"/>
          <w:i w:val="0"/>
          <w:sz w:val="22"/>
        </w:rPr>
      </w:pPr>
      <w:r>
        <w:t xml:space="preserve">The </w:t>
      </w:r>
      <w:r w:rsidRPr="00744FCC">
        <w:t>restructuring relief</w:t>
      </w:r>
      <w:r>
        <w:t xml:space="preserve"> under S</w:t>
      </w:r>
      <w:r w:rsidRPr="00744FCC">
        <w:t>ubdivision</w:t>
      </w:r>
      <w:r>
        <w:t xml:space="preserve"> 124-NA</w:t>
      </w:r>
      <w:r w:rsidRPr="00784576">
        <w:t xml:space="preserve"> will</w:t>
      </w:r>
      <w:r>
        <w:t xml:space="preserve"> be available </w:t>
      </w:r>
      <w:r w:rsidR="00051F19">
        <w:t>only</w:t>
      </w:r>
      <w:r>
        <w:t xml:space="preserve"> where all of the assets referable to the excluded sub-fund are disposed of to the transferee company during the excluded sub-fund restructuring period.</w:t>
      </w:r>
      <w:r w:rsidR="00C7712E" w:rsidRPr="00C7712E">
        <w:t xml:space="preserve"> </w:t>
      </w:r>
      <w:r w:rsidR="00C7712E">
        <w:t xml:space="preserve">This allows for a staggered transfer of the assets or a single transfer </w:t>
      </w:r>
      <w:r w:rsidR="0097418B">
        <w:t>of all of the assets of the excluded sub-fund</w:t>
      </w:r>
      <w:r w:rsidR="00C7712E">
        <w:t>.</w:t>
      </w:r>
      <w:r w:rsidR="006C58BD">
        <w:t xml:space="preserve"> Assets that are retained by the CCIV to pay existing or expected debts of the CCIV relating to the excluded sub-fund can be ignored.</w:t>
      </w:r>
      <w:r w:rsidR="00C7712E" w:rsidRPr="00C7712E">
        <w:rPr>
          <w:rStyle w:val="Referencingstyle"/>
        </w:rPr>
        <w:t xml:space="preserve"> </w:t>
      </w:r>
      <w:r w:rsidR="00C7712E">
        <w:rPr>
          <w:rStyle w:val="Referencingstyle"/>
        </w:rPr>
        <w:t>[Schedule 6, item 12, subsection</w:t>
      </w:r>
      <w:r w:rsidR="00051F19">
        <w:rPr>
          <w:rStyle w:val="Referencingstyle"/>
        </w:rPr>
        <w:t> </w:t>
      </w:r>
      <w:r w:rsidR="00C7712E">
        <w:rPr>
          <w:rStyle w:val="Referencingstyle"/>
        </w:rPr>
        <w:t>124-945(1)]</w:t>
      </w:r>
    </w:p>
    <w:p w14:paraId="6E6C6A34" w14:textId="161337A8" w:rsidR="00C7712E" w:rsidRDefault="00C7712E" w:rsidP="00C7712E">
      <w:pPr>
        <w:pStyle w:val="base-text-paragraph"/>
        <w:numPr>
          <w:ilvl w:val="1"/>
          <w:numId w:val="44"/>
        </w:numPr>
      </w:pPr>
      <w:r>
        <w:t>The excluded sub-fund restructuring period starts just before the first asset is disposed of to the transferee company and ends at the time the last asset is disposed of under the restructure. Therefore the assets that must be disposed of are a</w:t>
      </w:r>
      <w:r w:rsidR="0097418B">
        <w:t>ll the assets owned by the CCIV</w:t>
      </w:r>
      <w:r>
        <w:t xml:space="preserve"> referable to the excluded sub-fund</w:t>
      </w:r>
      <w:r w:rsidR="0097418B">
        <w:t xml:space="preserve">, </w:t>
      </w:r>
      <w:r>
        <w:t>including any assets acquired</w:t>
      </w:r>
      <w:r w:rsidR="0097418B">
        <w:t xml:space="preserve"> during the restructure period</w:t>
      </w:r>
      <w:r>
        <w:t>.</w:t>
      </w:r>
      <w:r w:rsidRPr="00AA4BB1">
        <w:rPr>
          <w:rStyle w:val="Referencingstyle"/>
        </w:rPr>
        <w:t xml:space="preserve"> </w:t>
      </w:r>
      <w:r>
        <w:rPr>
          <w:rStyle w:val="Referencingstyle"/>
        </w:rPr>
        <w:t>[Schedule 6, item 12, subsection 124-945(2)]</w:t>
      </w:r>
    </w:p>
    <w:p w14:paraId="66DF9E30" w14:textId="2DCF3F1F" w:rsidR="002717CE" w:rsidRDefault="00051F19" w:rsidP="002717CE">
      <w:pPr>
        <w:pStyle w:val="base-text-paragraph"/>
        <w:numPr>
          <w:ilvl w:val="1"/>
          <w:numId w:val="44"/>
        </w:numPr>
      </w:pPr>
      <w:r>
        <w:t>In addition, t</w:t>
      </w:r>
      <w:r w:rsidR="00C7712E">
        <w:t xml:space="preserve">he transferee company </w:t>
      </w:r>
      <w:r>
        <w:t>must be a company that</w:t>
      </w:r>
      <w:r w:rsidR="00C7712E">
        <w:t xml:space="preserve">: </w:t>
      </w:r>
    </w:p>
    <w:p w14:paraId="02B55A03" w14:textId="03CA8FE0" w:rsidR="00051F19" w:rsidRDefault="00051F19" w:rsidP="00C7712E">
      <w:pPr>
        <w:pStyle w:val="dotpoint"/>
      </w:pPr>
      <w:r>
        <w:t xml:space="preserve">has never carried on commercial activities; </w:t>
      </w:r>
    </w:p>
    <w:p w14:paraId="4FACEC6E" w14:textId="40D55EE1" w:rsidR="00C7712E" w:rsidRDefault="00051F19" w:rsidP="00C7712E">
      <w:pPr>
        <w:pStyle w:val="dotpoint"/>
      </w:pPr>
      <w:r>
        <w:t>has</w:t>
      </w:r>
      <w:r w:rsidR="00C7712E">
        <w:t xml:space="preserve"> no CGT assets other than small amounts of cash or debt, or rights under an arrangement that only facilitate the transfer of assets to the trans</w:t>
      </w:r>
      <w:r w:rsidR="006C58BD">
        <w:t xml:space="preserve">feree company from the CCIV; </w:t>
      </w:r>
    </w:p>
    <w:p w14:paraId="37F71F10" w14:textId="4CBE76B4" w:rsidR="00C7712E" w:rsidRDefault="00051F19" w:rsidP="00C7712E">
      <w:pPr>
        <w:pStyle w:val="dotpoint"/>
      </w:pPr>
      <w:r>
        <w:t>has</w:t>
      </w:r>
      <w:r w:rsidR="006C58BD">
        <w:t xml:space="preserve"> no losses of any kind; and </w:t>
      </w:r>
    </w:p>
    <w:p w14:paraId="1CB4521A" w14:textId="79D1B0B6" w:rsidR="006C58BD" w:rsidRDefault="0097418B" w:rsidP="00C7712E">
      <w:pPr>
        <w:pStyle w:val="dotpoint"/>
      </w:pPr>
      <w:proofErr w:type="gramStart"/>
      <w:r>
        <w:t>i</w:t>
      </w:r>
      <w:r w:rsidR="006C58BD">
        <w:t>s</w:t>
      </w:r>
      <w:proofErr w:type="gramEnd"/>
      <w:r w:rsidR="006C58BD">
        <w:t xml:space="preserve"> not a CCIV. </w:t>
      </w:r>
    </w:p>
    <w:p w14:paraId="017B7AE4" w14:textId="29E7EF38" w:rsidR="00C7712E" w:rsidRPr="00C7712E" w:rsidRDefault="00C7712E" w:rsidP="00C7712E">
      <w:pPr>
        <w:pStyle w:val="base-text-paragraphnonumbers"/>
        <w:rPr>
          <w:rStyle w:val="Referencingstyle"/>
        </w:rPr>
      </w:pPr>
      <w:r>
        <w:rPr>
          <w:rStyle w:val="Referencingstyle"/>
        </w:rPr>
        <w:t xml:space="preserve">[Schedule 6, item 12, </w:t>
      </w:r>
      <w:proofErr w:type="gramStart"/>
      <w:r>
        <w:rPr>
          <w:rStyle w:val="Referencingstyle"/>
        </w:rPr>
        <w:t>subsection 124-945(3</w:t>
      </w:r>
      <w:proofErr w:type="gramEnd"/>
      <w:r>
        <w:rPr>
          <w:rStyle w:val="Referencingstyle"/>
        </w:rPr>
        <w:t>)]</w:t>
      </w:r>
    </w:p>
    <w:p w14:paraId="2ED33469" w14:textId="77777777" w:rsidR="00AB7091" w:rsidRDefault="00BB3FDB" w:rsidP="00BB3FDB">
      <w:pPr>
        <w:pStyle w:val="base-text-paragraph"/>
        <w:numPr>
          <w:ilvl w:val="1"/>
          <w:numId w:val="44"/>
        </w:numPr>
      </w:pPr>
      <w:r>
        <w:t xml:space="preserve">Further, it is a requirement that all interests in the CCIV referable to the excluded sub-fund are exchanged for shares in the transferee company in equivalent proportions. </w:t>
      </w:r>
    </w:p>
    <w:p w14:paraId="4B00E333" w14:textId="380BF1EB" w:rsidR="00BB3FDB" w:rsidRDefault="00BB3FDB" w:rsidP="00BB3FDB">
      <w:pPr>
        <w:pStyle w:val="base-text-paragraph"/>
        <w:numPr>
          <w:ilvl w:val="1"/>
          <w:numId w:val="44"/>
        </w:numPr>
      </w:pPr>
      <w:r>
        <w:t>At the end of the</w:t>
      </w:r>
      <w:r w:rsidR="00DC067B">
        <w:t xml:space="preserve"> excluded sub-fund</w:t>
      </w:r>
      <w:r>
        <w:t xml:space="preserve"> restructuring period, each entity t</w:t>
      </w:r>
      <w:r w:rsidR="00DC067B">
        <w:t xml:space="preserve">hat owned </w:t>
      </w:r>
      <w:r w:rsidR="00AB7091">
        <w:t>shares</w:t>
      </w:r>
      <w:r w:rsidR="00DC067B">
        <w:t xml:space="preserve"> in the CCIV referable to the excluded sub-fund </w:t>
      </w:r>
      <w:r>
        <w:t xml:space="preserve">must own replacement shares in the </w:t>
      </w:r>
      <w:r w:rsidR="00DC067B">
        <w:t>transferee company</w:t>
      </w:r>
      <w:r>
        <w:t xml:space="preserve">. </w:t>
      </w:r>
      <w:r w:rsidR="009151A6">
        <w:t>T</w:t>
      </w:r>
      <w:r>
        <w:t>hese replacement shares must be in the same proportion</w:t>
      </w:r>
      <w:r w:rsidR="00AB7091">
        <w:t xml:space="preserve"> as the entity had owned those shares</w:t>
      </w:r>
      <w:r>
        <w:t xml:space="preserve"> in that </w:t>
      </w:r>
      <w:r w:rsidR="00DC067B">
        <w:t>CCIV referable to the excluded sub-fund</w:t>
      </w:r>
      <w:r>
        <w:t xml:space="preserve"> before the restructure occurred</w:t>
      </w:r>
      <w:r w:rsidRPr="00821367">
        <w:t>.</w:t>
      </w:r>
      <w:r>
        <w:t xml:space="preserve"> </w:t>
      </w:r>
      <w:r>
        <w:rPr>
          <w:rStyle w:val="Referencingstyle"/>
        </w:rPr>
        <w:t xml:space="preserve">[Schedule 6, </w:t>
      </w:r>
      <w:r w:rsidR="00DC067B">
        <w:rPr>
          <w:rStyle w:val="Referencingstyle"/>
        </w:rPr>
        <w:t>item 12, paragraph 124-945(4)(a)]</w:t>
      </w:r>
    </w:p>
    <w:p w14:paraId="3817633A" w14:textId="6548C44C" w:rsidR="002717CE" w:rsidRPr="009151A6" w:rsidRDefault="00BB3FDB" w:rsidP="009151A6">
      <w:pPr>
        <w:pStyle w:val="base-text-paragraph"/>
        <w:numPr>
          <w:ilvl w:val="1"/>
          <w:numId w:val="44"/>
        </w:numPr>
        <w:rPr>
          <w:rStyle w:val="Referencingstyle"/>
          <w:b w:val="0"/>
          <w:i w:val="0"/>
          <w:sz w:val="22"/>
        </w:rPr>
      </w:pPr>
      <w:r>
        <w:t xml:space="preserve">In addition, the market value of the shares in the </w:t>
      </w:r>
      <w:r w:rsidR="009151A6">
        <w:t>transferee company</w:t>
      </w:r>
      <w:r>
        <w:t xml:space="preserve"> just after the </w:t>
      </w:r>
      <w:r w:rsidR="009151A6">
        <w:t>excluded sub-fund</w:t>
      </w:r>
      <w:r>
        <w:t xml:space="preserve"> restructuring period must be at least substantially the same as the market value of the interests in </w:t>
      </w:r>
      <w:proofErr w:type="gramStart"/>
      <w:r>
        <w:t xml:space="preserve">the </w:t>
      </w:r>
      <w:r w:rsidR="009151A6" w:rsidRPr="009151A6">
        <w:t xml:space="preserve"> </w:t>
      </w:r>
      <w:r w:rsidR="009151A6">
        <w:t>shares</w:t>
      </w:r>
      <w:proofErr w:type="gramEnd"/>
      <w:r w:rsidR="009151A6">
        <w:t xml:space="preserve"> in that CCIV referable to the excluded sub-fund </w:t>
      </w:r>
      <w:r w:rsidR="00585007">
        <w:t xml:space="preserve">at the </w:t>
      </w:r>
      <w:r>
        <w:t xml:space="preserve">start of the </w:t>
      </w:r>
      <w:r w:rsidR="009151A6">
        <w:lastRenderedPageBreak/>
        <w:t xml:space="preserve">excluded sub-fund </w:t>
      </w:r>
      <w:r>
        <w:t xml:space="preserve">restructuring period. </w:t>
      </w:r>
      <w:r w:rsidR="009151A6">
        <w:rPr>
          <w:rStyle w:val="Referencingstyle"/>
        </w:rPr>
        <w:t>[Schedule 6, item 12, paragraph</w:t>
      </w:r>
      <w:r w:rsidR="00051F19">
        <w:rPr>
          <w:rStyle w:val="Referencingstyle"/>
        </w:rPr>
        <w:t> </w:t>
      </w:r>
      <w:r w:rsidR="009151A6">
        <w:rPr>
          <w:rStyle w:val="Referencingstyle"/>
        </w:rPr>
        <w:t>124</w:t>
      </w:r>
      <w:r w:rsidR="00051F19">
        <w:rPr>
          <w:rStyle w:val="Referencingstyle"/>
        </w:rPr>
        <w:noBreakHyphen/>
      </w:r>
      <w:r w:rsidR="009151A6">
        <w:rPr>
          <w:rStyle w:val="Referencingstyle"/>
        </w:rPr>
        <w:t>945(4)(b)]</w:t>
      </w:r>
    </w:p>
    <w:p w14:paraId="00D1DF0F" w14:textId="7C753C03" w:rsidR="009151A6" w:rsidRDefault="009151A6" w:rsidP="00972C9D">
      <w:pPr>
        <w:pStyle w:val="Heading5"/>
      </w:pPr>
      <w:r>
        <w:t>CGT roll</w:t>
      </w:r>
      <w:r w:rsidR="0097418B">
        <w:t>-</w:t>
      </w:r>
      <w:r>
        <w:t>over relief</w:t>
      </w:r>
    </w:p>
    <w:p w14:paraId="3FEE2D71" w14:textId="79321C44" w:rsidR="009151A6" w:rsidRDefault="009151A6" w:rsidP="009151A6">
      <w:pPr>
        <w:pStyle w:val="base-text-paragraph"/>
      </w:pPr>
      <w:r>
        <w:t>Excluded sub-funds that choose to restructure to a company will have access</w:t>
      </w:r>
      <w:r w:rsidRPr="00DF023A">
        <w:t xml:space="preserve"> </w:t>
      </w:r>
      <w:r w:rsidRPr="00784576">
        <w:t xml:space="preserve">to </w:t>
      </w:r>
      <w:r>
        <w:t xml:space="preserve">CGT </w:t>
      </w:r>
      <w:r w:rsidRPr="00784576">
        <w:t>roll</w:t>
      </w:r>
      <w:r w:rsidR="0097418B">
        <w:t>-</w:t>
      </w:r>
      <w:r w:rsidRPr="00784576">
        <w:t xml:space="preserve">over relief at both the entity level (for assets) and </w:t>
      </w:r>
      <w:r>
        <w:t xml:space="preserve">the investor level (for </w:t>
      </w:r>
      <w:proofErr w:type="gramStart"/>
      <w:r>
        <w:t>members</w:t>
      </w:r>
      <w:proofErr w:type="gramEnd"/>
      <w:r>
        <w:t xml:space="preserve"> shares</w:t>
      </w:r>
      <w:r w:rsidRPr="00784576">
        <w:t>).</w:t>
      </w:r>
      <w:r>
        <w:t xml:space="preserve"> A CGT roll</w:t>
      </w:r>
      <w:r w:rsidR="0097418B">
        <w:t>-</w:t>
      </w:r>
      <w:r>
        <w:t>over provides relief on certain capital gains events, to ensure that funds and investors do not incur an income tax liability at the time of transfer and defers tax consequences for members.</w:t>
      </w:r>
    </w:p>
    <w:p w14:paraId="56A92175" w14:textId="29C02EC4" w:rsidR="009151A6" w:rsidRDefault="009151A6" w:rsidP="00972C9D">
      <w:pPr>
        <w:pStyle w:val="Heading5"/>
      </w:pPr>
      <w:r>
        <w:t xml:space="preserve">Owner of shares referable to the excluded sub-fund </w:t>
      </w:r>
    </w:p>
    <w:p w14:paraId="31757A5B" w14:textId="4523ED0A" w:rsidR="009151A6" w:rsidRPr="00AE7B17" w:rsidRDefault="009151A6" w:rsidP="009151A6">
      <w:pPr>
        <w:pStyle w:val="base-text-paragraph"/>
      </w:pPr>
      <w:r>
        <w:t xml:space="preserve">If an excluded sub-fund restructures and </w:t>
      </w:r>
      <w:r w:rsidR="005C0B60">
        <w:t xml:space="preserve">transfers its assets to </w:t>
      </w:r>
      <w:r>
        <w:t>a company, the original shares in the CCIV referable to the excluded sub</w:t>
      </w:r>
      <w:r w:rsidR="00585007">
        <w:noBreakHyphen/>
      </w:r>
      <w:r>
        <w:t xml:space="preserve">fund will be replaced with shares in the transferee company. </w:t>
      </w:r>
    </w:p>
    <w:p w14:paraId="02E3C60F" w14:textId="1D040A84" w:rsidR="009151A6" w:rsidRPr="0065399C" w:rsidRDefault="009151A6" w:rsidP="009151A6">
      <w:pPr>
        <w:pStyle w:val="base-text-paragraph"/>
        <w:rPr>
          <w:rStyle w:val="Referencingstyle"/>
          <w:b w:val="0"/>
          <w:i w:val="0"/>
          <w:sz w:val="22"/>
        </w:rPr>
      </w:pPr>
      <w:r>
        <w:t>The owner of the shares will obtain a CGT roll</w:t>
      </w:r>
      <w:r>
        <w:noBreakHyphen/>
        <w:t>over in relation to those shares</w:t>
      </w:r>
      <w:r w:rsidR="0065399C">
        <w:t xml:space="preserve"> (with the exception of trading stock)</w:t>
      </w:r>
      <w:r>
        <w:t xml:space="preserve">. As a result, the first element of the cost base and reduced cost base of the replacement shares will be the same as the first element of the cost base and reduced cost base for the original shares in the CCIV referable to the excluded sub-fund. In addition, the owner will be taken to have acquired the replacement shares at the same time as they acquired the original shares. </w:t>
      </w:r>
      <w:r>
        <w:rPr>
          <w:rStyle w:val="Referencingstyle"/>
        </w:rPr>
        <w:t xml:space="preserve">[Schedule 6, item </w:t>
      </w:r>
      <w:r w:rsidR="0065399C">
        <w:rPr>
          <w:rStyle w:val="Referencingstyle"/>
        </w:rPr>
        <w:t>12, subsections 124-950(1) and (3)</w:t>
      </w:r>
      <w:r w:rsidRPr="0031531E">
        <w:rPr>
          <w:rStyle w:val="Referencingstyle"/>
        </w:rPr>
        <w:t>]</w:t>
      </w:r>
    </w:p>
    <w:p w14:paraId="3D6601C6" w14:textId="532130E6" w:rsidR="0065399C" w:rsidRPr="00CE20EB" w:rsidRDefault="0065399C" w:rsidP="003654F8">
      <w:pPr>
        <w:pStyle w:val="base-text-paragraph"/>
      </w:pPr>
      <w:r>
        <w:rPr>
          <w:rStyle w:val="Referencingstyle"/>
          <w:b w:val="0"/>
          <w:i w:val="0"/>
          <w:sz w:val="22"/>
        </w:rPr>
        <w:t>The owner of the shares cannot make a capital loss from a CGT event that happens to their original shares (shares in the CCIV referable to the excluded sub-fund) during the excluded sub-fund restructuring period.</w:t>
      </w:r>
      <w:r w:rsidRPr="0065399C">
        <w:rPr>
          <w:rStyle w:val="Referencingstyle"/>
        </w:rPr>
        <w:t xml:space="preserve"> </w:t>
      </w:r>
      <w:r>
        <w:rPr>
          <w:rStyle w:val="Referencingstyle"/>
        </w:rPr>
        <w:t>[Schedule 6, item 12, subsection 124-950(2)</w:t>
      </w:r>
      <w:r w:rsidRPr="0031531E">
        <w:rPr>
          <w:rStyle w:val="Referencingstyle"/>
        </w:rPr>
        <w:t>]</w:t>
      </w:r>
      <w:r>
        <w:rPr>
          <w:rStyle w:val="Referencingstyle"/>
          <w:b w:val="0"/>
          <w:i w:val="0"/>
          <w:sz w:val="22"/>
        </w:rPr>
        <w:t xml:space="preserve"> </w:t>
      </w:r>
    </w:p>
    <w:p w14:paraId="7731EE7C" w14:textId="7EAC8181" w:rsidR="009151A6" w:rsidRDefault="009151A6" w:rsidP="00972C9D">
      <w:pPr>
        <w:pStyle w:val="Heading5"/>
      </w:pPr>
      <w:r>
        <w:t>CGT consequences for the CCIV</w:t>
      </w:r>
      <w:r w:rsidR="003654F8">
        <w:t xml:space="preserve"> and </w:t>
      </w:r>
      <w:r w:rsidR="00C13DDA">
        <w:t xml:space="preserve">the transferee </w:t>
      </w:r>
      <w:r w:rsidR="003654F8">
        <w:t>company</w:t>
      </w:r>
    </w:p>
    <w:p w14:paraId="5196FE5D" w14:textId="2F18BCEA" w:rsidR="009151A6" w:rsidRDefault="00C13DDA" w:rsidP="009151A6">
      <w:pPr>
        <w:pStyle w:val="base-text-paragraph"/>
      </w:pPr>
      <w:r>
        <w:t xml:space="preserve">If both </w:t>
      </w:r>
      <w:r w:rsidR="009151A6">
        <w:t xml:space="preserve">the CCIV </w:t>
      </w:r>
      <w:r>
        <w:t xml:space="preserve">and the transferee company </w:t>
      </w:r>
      <w:r w:rsidR="009151A6">
        <w:t>choose the restructure relief, then:</w:t>
      </w:r>
    </w:p>
    <w:p w14:paraId="28A9152C" w14:textId="3BCFFDAD" w:rsidR="009151A6" w:rsidRDefault="009151A6" w:rsidP="009151A6">
      <w:pPr>
        <w:pStyle w:val="dotpoint"/>
      </w:pPr>
      <w:r>
        <w:t xml:space="preserve">any capital gain or capital loss that arises from CGT event A1 happening to the </w:t>
      </w:r>
      <w:r w:rsidR="00C13DDA">
        <w:t>CCIV</w:t>
      </w:r>
      <w:r>
        <w:t xml:space="preserve"> under the restructure is disregarded;</w:t>
      </w:r>
    </w:p>
    <w:p w14:paraId="799DF539" w14:textId="1615EFD0" w:rsidR="009151A6" w:rsidRDefault="009151A6" w:rsidP="009151A6">
      <w:pPr>
        <w:pStyle w:val="dotpoint"/>
      </w:pPr>
      <w:r>
        <w:t>the first element of the c</w:t>
      </w:r>
      <w:r w:rsidR="005D6EC6">
        <w:t>ost base and reduced cost base of</w:t>
      </w:r>
      <w:r>
        <w:t xml:space="preserve"> each CGT asset </w:t>
      </w:r>
      <w:r w:rsidR="005D6EC6">
        <w:t xml:space="preserve">that the transferee acquires </w:t>
      </w:r>
      <w:r>
        <w:t xml:space="preserve">under the restructure is the same as the cost base and reduced cost base of that asset for the </w:t>
      </w:r>
      <w:r w:rsidR="005D6EC6">
        <w:t xml:space="preserve">CCIV </w:t>
      </w:r>
      <w:r>
        <w:t>just before the restructure; and</w:t>
      </w:r>
    </w:p>
    <w:p w14:paraId="3BD58D69" w14:textId="2DED28F2" w:rsidR="009151A6" w:rsidRPr="00566D07" w:rsidRDefault="005D6EC6" w:rsidP="009151A6">
      <w:pPr>
        <w:pStyle w:val="dotpoint"/>
        <w:rPr>
          <w:rStyle w:val="Referencingstyle"/>
          <w:b w:val="0"/>
          <w:i w:val="0"/>
          <w:sz w:val="22"/>
        </w:rPr>
      </w:pPr>
      <w:proofErr w:type="gramStart"/>
      <w:r>
        <w:t>the</w:t>
      </w:r>
      <w:proofErr w:type="gramEnd"/>
      <w:r>
        <w:t xml:space="preserve"> transferee company </w:t>
      </w:r>
      <w:r w:rsidR="009151A6">
        <w:t>will be taken to have acquired any pre</w:t>
      </w:r>
      <w:r w:rsidR="009151A6">
        <w:noBreakHyphen/>
        <w:t xml:space="preserve">CGT assets held by the </w:t>
      </w:r>
      <w:r>
        <w:t>CCIV</w:t>
      </w:r>
      <w:r w:rsidR="009151A6">
        <w:t xml:space="preserve"> before 20 September 1985</w:t>
      </w:r>
      <w:r>
        <w:t xml:space="preserve">. </w:t>
      </w:r>
    </w:p>
    <w:p w14:paraId="0A9EB8CF" w14:textId="63230908" w:rsidR="009151A6" w:rsidRDefault="009151A6" w:rsidP="009151A6">
      <w:pPr>
        <w:pStyle w:val="base-text-paragraphnonumbers"/>
        <w:rPr>
          <w:rStyle w:val="Referencingstyle"/>
        </w:rPr>
      </w:pPr>
      <w:r>
        <w:rPr>
          <w:rStyle w:val="Referencingstyle"/>
        </w:rPr>
        <w:t xml:space="preserve">[Schedule 6, </w:t>
      </w:r>
      <w:r w:rsidR="00E637EB">
        <w:rPr>
          <w:rStyle w:val="Referencingstyle"/>
        </w:rPr>
        <w:t xml:space="preserve">item 12, </w:t>
      </w:r>
      <w:proofErr w:type="gramStart"/>
      <w:r w:rsidR="00E637EB">
        <w:rPr>
          <w:rStyle w:val="Referencingstyle"/>
        </w:rPr>
        <w:t>section</w:t>
      </w:r>
      <w:proofErr w:type="gramEnd"/>
      <w:r w:rsidR="00E637EB">
        <w:rPr>
          <w:rStyle w:val="Referencingstyle"/>
        </w:rPr>
        <w:t xml:space="preserve"> 124-955</w:t>
      </w:r>
      <w:r w:rsidR="00E637EB" w:rsidRPr="0031531E">
        <w:rPr>
          <w:rStyle w:val="Referencingstyle"/>
        </w:rPr>
        <w:t>]</w:t>
      </w:r>
    </w:p>
    <w:p w14:paraId="1EA94002" w14:textId="37239255" w:rsidR="003C19A6" w:rsidRPr="00972C9D" w:rsidRDefault="003C19A6" w:rsidP="003C19A6">
      <w:pPr>
        <w:pStyle w:val="base-text-paragraph"/>
        <w:rPr>
          <w:rStyle w:val="Referencingstyle"/>
          <w:b w:val="0"/>
          <w:i w:val="0"/>
          <w:sz w:val="22"/>
        </w:rPr>
      </w:pPr>
      <w:r>
        <w:t xml:space="preserve">However, the modified CGT </w:t>
      </w:r>
      <w:r w:rsidR="0018308B">
        <w:t>consequences for the CCIV and transferee company do</w:t>
      </w:r>
      <w:r>
        <w:t xml:space="preserve"> not apply to a CGT asset that is an item of trading stock</w:t>
      </w:r>
      <w:r w:rsidRPr="003C19A6">
        <w:rPr>
          <w:rStyle w:val="Referencingstyle"/>
        </w:rPr>
        <w:t xml:space="preserve">. [Schedule 6, item 12, </w:t>
      </w:r>
      <w:r>
        <w:rPr>
          <w:rStyle w:val="Referencingstyle"/>
        </w:rPr>
        <w:t>sub</w:t>
      </w:r>
      <w:r w:rsidRPr="003C19A6">
        <w:rPr>
          <w:rStyle w:val="Referencingstyle"/>
        </w:rPr>
        <w:t>section 124-955</w:t>
      </w:r>
      <w:r>
        <w:rPr>
          <w:rStyle w:val="Referencingstyle"/>
        </w:rPr>
        <w:t>(4)</w:t>
      </w:r>
      <w:r w:rsidRPr="003C19A6">
        <w:rPr>
          <w:rStyle w:val="Referencingstyle"/>
        </w:rPr>
        <w:t>]</w:t>
      </w:r>
    </w:p>
    <w:p w14:paraId="6C75DE94" w14:textId="77777777" w:rsidR="00972C9D" w:rsidRPr="000C2E18" w:rsidRDefault="00972C9D" w:rsidP="00972C9D">
      <w:pPr>
        <w:pStyle w:val="Heading4"/>
        <w:rPr>
          <w:rStyle w:val="Referencingstyle"/>
          <w:b/>
          <w:i/>
          <w:sz w:val="22"/>
        </w:rPr>
      </w:pPr>
      <w:r>
        <w:rPr>
          <w:rStyle w:val="Referencingstyle"/>
          <w:b/>
          <w:i/>
          <w:sz w:val="22"/>
        </w:rPr>
        <w:lastRenderedPageBreak/>
        <w:t>Ceasing to be an excluded sub-fund</w:t>
      </w:r>
    </w:p>
    <w:p w14:paraId="3A7D4AD2" w14:textId="1D847A38" w:rsidR="008953A9" w:rsidRDefault="00972C9D" w:rsidP="00972C9D">
      <w:pPr>
        <w:pStyle w:val="base-text-paragraph"/>
      </w:pPr>
      <w:r>
        <w:t xml:space="preserve"> </w:t>
      </w:r>
      <w:r w:rsidR="008953A9">
        <w:t>Where an</w:t>
      </w:r>
      <w:r>
        <w:t xml:space="preserve"> excluded sub-fund restructures under </w:t>
      </w:r>
      <w:r w:rsidR="00102388">
        <w:t>S</w:t>
      </w:r>
      <w:r w:rsidR="005C0B60">
        <w:t>ubdivision </w:t>
      </w:r>
      <w:r>
        <w:t>124-NA as anot</w:t>
      </w:r>
      <w:r w:rsidR="008953A9">
        <w:t xml:space="preserve">her company that is not a CCIV, the company will need to continue to identify </w:t>
      </w:r>
      <w:proofErr w:type="spellStart"/>
      <w:r w:rsidR="008953A9">
        <w:t>unders</w:t>
      </w:r>
      <w:proofErr w:type="spellEnd"/>
      <w:r w:rsidR="008953A9">
        <w:t xml:space="preserve"> and overs relating to the period that the excluded sub-fund was an ASF that are discovered in later income years (the discovery year)</w:t>
      </w:r>
      <w:r w:rsidR="0097418B">
        <w:t xml:space="preserve"> by the company</w:t>
      </w:r>
      <w:r w:rsidR="008953A9">
        <w:t xml:space="preserve">. </w:t>
      </w:r>
      <w:r w:rsidR="00446CF4">
        <w:rPr>
          <w:rStyle w:val="Referencingstyle"/>
        </w:rPr>
        <w:t>[Schedule 6, item 15</w:t>
      </w:r>
      <w:r w:rsidR="000F59F3" w:rsidRPr="003C19A6">
        <w:rPr>
          <w:rStyle w:val="Referencingstyle"/>
        </w:rPr>
        <w:t xml:space="preserve">, </w:t>
      </w:r>
      <w:r w:rsidR="00585007">
        <w:rPr>
          <w:rStyle w:val="Referencingstyle"/>
        </w:rPr>
        <w:t>section </w:t>
      </w:r>
      <w:r w:rsidR="000F59F3">
        <w:rPr>
          <w:rStyle w:val="Referencingstyle"/>
        </w:rPr>
        <w:t>276</w:t>
      </w:r>
      <w:r w:rsidR="005C0B60">
        <w:rPr>
          <w:rStyle w:val="Referencingstyle"/>
        </w:rPr>
        <w:noBreakHyphen/>
      </w:r>
      <w:r w:rsidR="000F59F3" w:rsidRPr="003C19A6">
        <w:rPr>
          <w:rStyle w:val="Referencingstyle"/>
        </w:rPr>
        <w:t>955]</w:t>
      </w:r>
    </w:p>
    <w:p w14:paraId="5D187DCB" w14:textId="7BC10D2F" w:rsidR="006C1BEF" w:rsidRPr="006C1BEF" w:rsidRDefault="000F59F3" w:rsidP="00972C9D">
      <w:pPr>
        <w:pStyle w:val="base-text-paragraph"/>
        <w:rPr>
          <w:rStyle w:val="Referencingstyle"/>
          <w:b w:val="0"/>
          <w:i w:val="0"/>
          <w:sz w:val="22"/>
        </w:rPr>
      </w:pPr>
      <w:r>
        <w:t xml:space="preserve">In these circumstances, the company will need to continue to work out </w:t>
      </w:r>
      <w:proofErr w:type="spellStart"/>
      <w:r>
        <w:t>unders</w:t>
      </w:r>
      <w:proofErr w:type="spellEnd"/>
      <w:r>
        <w:t xml:space="preserve"> and overs</w:t>
      </w:r>
      <w:r w:rsidR="006C1BEF">
        <w:t xml:space="preserve"> (as if the company</w:t>
      </w:r>
      <w:r>
        <w:t xml:space="preserve"> was </w:t>
      </w:r>
      <w:r w:rsidR="006C1BEF">
        <w:t>the excluded sub-fund)</w:t>
      </w:r>
      <w:r>
        <w:t xml:space="preserve"> relating</w:t>
      </w:r>
      <w:r w:rsidR="006C1BEF">
        <w:t xml:space="preserve"> to an income </w:t>
      </w:r>
      <w:r>
        <w:t>year during which the excluded sub-fund was an ASF.</w:t>
      </w:r>
      <w:r w:rsidR="006C1BEF">
        <w:rPr>
          <w:rStyle w:val="Referencingstyle"/>
        </w:rPr>
        <w:t xml:space="preserve"> </w:t>
      </w:r>
      <w:r w:rsidR="00446CF4">
        <w:rPr>
          <w:rStyle w:val="Referencingstyle"/>
        </w:rPr>
        <w:t>[Schedule 6, item 15</w:t>
      </w:r>
      <w:r w:rsidR="006C1BEF" w:rsidRPr="003C19A6">
        <w:rPr>
          <w:rStyle w:val="Referencingstyle"/>
        </w:rPr>
        <w:t xml:space="preserve">, </w:t>
      </w:r>
      <w:r w:rsidR="006C1BEF">
        <w:rPr>
          <w:rStyle w:val="Referencingstyle"/>
        </w:rPr>
        <w:t>subsection 276-960(1)</w:t>
      </w:r>
      <w:r w:rsidR="006C1BEF" w:rsidRPr="003C19A6">
        <w:rPr>
          <w:rStyle w:val="Referencingstyle"/>
        </w:rPr>
        <w:t>]</w:t>
      </w:r>
    </w:p>
    <w:p w14:paraId="445E0442" w14:textId="5AEAFE25" w:rsidR="008953A9" w:rsidRDefault="006C1BEF" w:rsidP="00972C9D">
      <w:pPr>
        <w:pStyle w:val="base-text-paragraph"/>
      </w:pPr>
      <w:r>
        <w:t xml:space="preserve">Where an under or over of a character is discovered, the company will need to work out the extent to which the under and over increases or decreases the amount of the sub-fund’s AIV component of that character for the discovery year. </w:t>
      </w:r>
      <w:r w:rsidR="00446CF4">
        <w:rPr>
          <w:rStyle w:val="Referencingstyle"/>
        </w:rPr>
        <w:t>[Schedule 6, item 15</w:t>
      </w:r>
      <w:r w:rsidR="000F59F3" w:rsidRPr="003C19A6">
        <w:rPr>
          <w:rStyle w:val="Referencingstyle"/>
        </w:rPr>
        <w:t xml:space="preserve">, </w:t>
      </w:r>
      <w:r>
        <w:rPr>
          <w:rStyle w:val="Referencingstyle"/>
        </w:rPr>
        <w:t>sub</w:t>
      </w:r>
      <w:r w:rsidR="000F59F3">
        <w:rPr>
          <w:rStyle w:val="Referencingstyle"/>
        </w:rPr>
        <w:t>section 276-960</w:t>
      </w:r>
      <w:r>
        <w:rPr>
          <w:rStyle w:val="Referencingstyle"/>
        </w:rPr>
        <w:t>(2)</w:t>
      </w:r>
      <w:r w:rsidR="000F59F3" w:rsidRPr="003C19A6">
        <w:rPr>
          <w:rStyle w:val="Referencingstyle"/>
        </w:rPr>
        <w:t>]</w:t>
      </w:r>
    </w:p>
    <w:p w14:paraId="7661F932" w14:textId="552E65BE" w:rsidR="000F59F3" w:rsidRPr="008732A9" w:rsidRDefault="000F59F3" w:rsidP="000F59F3">
      <w:pPr>
        <w:pStyle w:val="base-text-paragraph"/>
        <w:numPr>
          <w:ilvl w:val="1"/>
          <w:numId w:val="7"/>
        </w:numPr>
      </w:pPr>
      <w:r>
        <w:t>If the company</w:t>
      </w:r>
      <w:r w:rsidRPr="008732A9">
        <w:t xml:space="preserve"> discovers an under or over that has the effect of increasing the amount of a</w:t>
      </w:r>
      <w:r>
        <w:t xml:space="preserve"> particular </w:t>
      </w:r>
      <w:r w:rsidRPr="008732A9">
        <w:t>character for the discovery year (worked</w:t>
      </w:r>
      <w:r>
        <w:t xml:space="preserve"> out on the basis that the </w:t>
      </w:r>
      <w:r w:rsidR="00585007">
        <w:t>excluded sub-fund</w:t>
      </w:r>
      <w:r w:rsidRPr="008732A9">
        <w:t xml:space="preserve"> continued to be an </w:t>
      </w:r>
      <w:r>
        <w:t>ASF</w:t>
      </w:r>
      <w:r w:rsidRPr="008732A9">
        <w:t>), then:</w:t>
      </w:r>
    </w:p>
    <w:p w14:paraId="27A1D82B" w14:textId="06D82254" w:rsidR="000F59F3" w:rsidRPr="008732A9" w:rsidRDefault="000F59F3" w:rsidP="000F59F3">
      <w:pPr>
        <w:pStyle w:val="dotpoint"/>
        <w:numPr>
          <w:ilvl w:val="0"/>
          <w:numId w:val="12"/>
        </w:numPr>
      </w:pPr>
      <w:r w:rsidRPr="008732A9">
        <w:t xml:space="preserve">if the relevant character </w:t>
      </w:r>
      <w:r>
        <w:t xml:space="preserve">relates to assessable income, the </w:t>
      </w:r>
      <w:r w:rsidR="002E5D85">
        <w:t xml:space="preserve">company must include the </w:t>
      </w:r>
      <w:r w:rsidRPr="008732A9">
        <w:t xml:space="preserve">amount of the increase </w:t>
      </w:r>
      <w:r w:rsidR="002E5D85">
        <w:t>as as</w:t>
      </w:r>
      <w:r>
        <w:t xml:space="preserve">sessable income </w:t>
      </w:r>
      <w:r w:rsidR="002E5D85">
        <w:t>in</w:t>
      </w:r>
      <w:r w:rsidRPr="008732A9">
        <w:t xml:space="preserve"> the discovery year;</w:t>
      </w:r>
      <w:r>
        <w:t xml:space="preserve"> </w:t>
      </w:r>
    </w:p>
    <w:p w14:paraId="06EEBDC5" w14:textId="0AC4DC39" w:rsidR="000F59F3" w:rsidRPr="008732A9" w:rsidRDefault="000F59F3" w:rsidP="000F59F3">
      <w:pPr>
        <w:pStyle w:val="dotpoint"/>
        <w:numPr>
          <w:ilvl w:val="0"/>
          <w:numId w:val="12"/>
        </w:numPr>
      </w:pPr>
      <w:r w:rsidRPr="008732A9">
        <w:t xml:space="preserve">if the relevant character </w:t>
      </w:r>
      <w:r>
        <w:t xml:space="preserve">relates to </w:t>
      </w:r>
      <w:r w:rsidRPr="008732A9">
        <w:t xml:space="preserve">exempt </w:t>
      </w:r>
      <w:r>
        <w:t>income</w:t>
      </w:r>
      <w:r w:rsidRPr="008732A9">
        <w:t xml:space="preserve">, </w:t>
      </w:r>
      <w:r w:rsidR="002E5D85">
        <w:t xml:space="preserve">the company must treat </w:t>
      </w:r>
      <w:r w:rsidRPr="008732A9">
        <w:t>the</w:t>
      </w:r>
      <w:r>
        <w:t xml:space="preserve"> </w:t>
      </w:r>
      <w:r w:rsidRPr="008732A9">
        <w:t>amount of the increa</w:t>
      </w:r>
      <w:r>
        <w:t xml:space="preserve">se </w:t>
      </w:r>
      <w:r w:rsidR="002E5D85">
        <w:t xml:space="preserve">as </w:t>
      </w:r>
      <w:r>
        <w:t xml:space="preserve">exempt income </w:t>
      </w:r>
      <w:r w:rsidR="002E5D85">
        <w:t>in</w:t>
      </w:r>
      <w:r w:rsidRPr="008732A9">
        <w:t xml:space="preserve"> the discovery year;</w:t>
      </w:r>
    </w:p>
    <w:p w14:paraId="0FF2E15F" w14:textId="79BCD443" w:rsidR="000F59F3" w:rsidRPr="008732A9" w:rsidRDefault="000F59F3" w:rsidP="000F59F3">
      <w:pPr>
        <w:pStyle w:val="dotpoint"/>
        <w:numPr>
          <w:ilvl w:val="0"/>
          <w:numId w:val="12"/>
        </w:numPr>
      </w:pPr>
      <w:r w:rsidRPr="008732A9">
        <w:t xml:space="preserve">if the relevant character </w:t>
      </w:r>
      <w:r>
        <w:t xml:space="preserve">relates to </w:t>
      </w:r>
      <w:r w:rsidRPr="008732A9">
        <w:t>non</w:t>
      </w:r>
      <w:r w:rsidRPr="008732A9">
        <w:noBreakHyphen/>
        <w:t xml:space="preserve">assessable </w:t>
      </w:r>
      <w:r>
        <w:t>non</w:t>
      </w:r>
      <w:r>
        <w:noBreakHyphen/>
        <w:t xml:space="preserve">exempt income, </w:t>
      </w:r>
      <w:r w:rsidR="002E5D85">
        <w:t xml:space="preserve">the company must treat </w:t>
      </w:r>
      <w:r>
        <w:t xml:space="preserve">the </w:t>
      </w:r>
      <w:r w:rsidRPr="008732A9">
        <w:t xml:space="preserve">amount of the increase </w:t>
      </w:r>
      <w:r w:rsidR="002E5D85">
        <w:t xml:space="preserve">as </w:t>
      </w:r>
      <w:r w:rsidRPr="008732A9">
        <w:t>non</w:t>
      </w:r>
      <w:r w:rsidRPr="008732A9">
        <w:noBreakHyphen/>
        <w:t>assessabl</w:t>
      </w:r>
      <w:r>
        <w:t>e non</w:t>
      </w:r>
      <w:r>
        <w:noBreakHyphen/>
        <w:t xml:space="preserve">exempt income </w:t>
      </w:r>
      <w:r w:rsidR="002E5D85">
        <w:t>in</w:t>
      </w:r>
      <w:r w:rsidRPr="008732A9">
        <w:t xml:space="preserve"> the discovery year; or</w:t>
      </w:r>
    </w:p>
    <w:p w14:paraId="73BCB2D4" w14:textId="3CF0DD43" w:rsidR="000F59F3" w:rsidRDefault="000F59F3" w:rsidP="000F59F3">
      <w:pPr>
        <w:pStyle w:val="dotpoint"/>
        <w:numPr>
          <w:ilvl w:val="0"/>
          <w:numId w:val="12"/>
        </w:numPr>
      </w:pPr>
      <w:proofErr w:type="gramStart"/>
      <w:r w:rsidRPr="008732A9">
        <w:t>if</w:t>
      </w:r>
      <w:proofErr w:type="gramEnd"/>
      <w:r w:rsidRPr="008732A9">
        <w:t xml:space="preserve"> the relevant character </w:t>
      </w:r>
      <w:r>
        <w:t xml:space="preserve">relates to </w:t>
      </w:r>
      <w:r w:rsidRPr="008732A9">
        <w:t>a</w:t>
      </w:r>
      <w:r>
        <w:t xml:space="preserve"> tax</w:t>
      </w:r>
      <w:r w:rsidRPr="008732A9">
        <w:t xml:space="preserve"> offset character, </w:t>
      </w:r>
      <w:r w:rsidR="002E5D85">
        <w:t xml:space="preserve">the company must include </w:t>
      </w:r>
      <w:r w:rsidRPr="008732A9">
        <w:t xml:space="preserve">the amount of the increase </w:t>
      </w:r>
      <w:r w:rsidR="002E5D85">
        <w:t xml:space="preserve">as </w:t>
      </w:r>
      <w:r w:rsidRPr="008732A9">
        <w:t>a</w:t>
      </w:r>
      <w:r>
        <w:t xml:space="preserve"> tax offset </w:t>
      </w:r>
      <w:r w:rsidRPr="008732A9">
        <w:t>of a kind corresponding to that character</w:t>
      </w:r>
      <w:r w:rsidR="002E5D85">
        <w:t xml:space="preserve"> in</w:t>
      </w:r>
      <w:r w:rsidR="002E5D85" w:rsidRPr="008732A9">
        <w:t xml:space="preserve"> the discovery yea</w:t>
      </w:r>
      <w:r w:rsidR="002E5D85">
        <w:t>r</w:t>
      </w:r>
      <w:r w:rsidRPr="008732A9">
        <w:t>.</w:t>
      </w:r>
    </w:p>
    <w:p w14:paraId="230F04D1" w14:textId="407CF322" w:rsidR="00446CF4" w:rsidRPr="00446CF4" w:rsidRDefault="00446CF4" w:rsidP="00446CF4">
      <w:pPr>
        <w:pStyle w:val="base-text-paragraphnonumbers"/>
        <w:rPr>
          <w:b/>
          <w:i/>
          <w:sz w:val="18"/>
        </w:rPr>
      </w:pPr>
      <w:r>
        <w:rPr>
          <w:rStyle w:val="Referencingstyle"/>
        </w:rPr>
        <w:t xml:space="preserve">[Schedule 6, item 15, </w:t>
      </w:r>
      <w:proofErr w:type="gramStart"/>
      <w:r>
        <w:rPr>
          <w:rStyle w:val="Referencingstyle"/>
        </w:rPr>
        <w:t>section</w:t>
      </w:r>
      <w:proofErr w:type="gramEnd"/>
      <w:r>
        <w:rPr>
          <w:rStyle w:val="Referencingstyle"/>
        </w:rPr>
        <w:t xml:space="preserve"> 276-965</w:t>
      </w:r>
      <w:r w:rsidRPr="0031531E">
        <w:rPr>
          <w:rStyle w:val="Referencingstyle"/>
        </w:rPr>
        <w:t>]</w:t>
      </w:r>
    </w:p>
    <w:p w14:paraId="6FFEB203" w14:textId="5373380D" w:rsidR="000F59F3" w:rsidRPr="008732A9" w:rsidRDefault="000F59F3" w:rsidP="000F59F3">
      <w:pPr>
        <w:pStyle w:val="base-text-paragraph"/>
        <w:numPr>
          <w:ilvl w:val="1"/>
          <w:numId w:val="7"/>
        </w:numPr>
      </w:pPr>
      <w:r>
        <w:t>If the company</w:t>
      </w:r>
      <w:r w:rsidRPr="008732A9">
        <w:t xml:space="preserve"> discovers an under or over that has the effect of decreasing the amount of a</w:t>
      </w:r>
      <w:r>
        <w:t xml:space="preserve"> particular </w:t>
      </w:r>
      <w:r w:rsidRPr="008732A9">
        <w:t xml:space="preserve">character </w:t>
      </w:r>
      <w:r w:rsidR="002600D4">
        <w:t xml:space="preserve">(other than a tax offset) </w:t>
      </w:r>
      <w:r w:rsidRPr="008732A9">
        <w:t xml:space="preserve">for the discovery year (worked out on the basis that the </w:t>
      </w:r>
      <w:r w:rsidR="00585007">
        <w:t>excluded sub-fund</w:t>
      </w:r>
      <w:r w:rsidRPr="008732A9">
        <w:t xml:space="preserve"> continued to be an </w:t>
      </w:r>
      <w:r>
        <w:t>ASF</w:t>
      </w:r>
      <w:r w:rsidRPr="008732A9">
        <w:t>), then:</w:t>
      </w:r>
    </w:p>
    <w:p w14:paraId="443B6350" w14:textId="54A70AAA" w:rsidR="002E5D85" w:rsidRDefault="002E5D85" w:rsidP="000F59F3">
      <w:pPr>
        <w:pStyle w:val="dotpoint"/>
        <w:numPr>
          <w:ilvl w:val="0"/>
          <w:numId w:val="12"/>
        </w:numPr>
        <w:spacing w:before="100" w:after="100"/>
        <w:ind w:left="2269" w:hanging="284"/>
      </w:pPr>
      <w:r w:rsidRPr="008732A9">
        <w:t xml:space="preserve">if the relevant character </w:t>
      </w:r>
      <w:r>
        <w:t xml:space="preserve">relates to </w:t>
      </w:r>
      <w:r w:rsidRPr="008732A9">
        <w:t>a</w:t>
      </w:r>
      <w:r>
        <w:t xml:space="preserve">ssessable </w:t>
      </w:r>
      <w:r w:rsidRPr="008732A9">
        <w:t xml:space="preserve">income </w:t>
      </w:r>
      <w:r w:rsidR="002600D4">
        <w:t xml:space="preserve">(other than </w:t>
      </w:r>
      <w:r w:rsidRPr="008732A9">
        <w:t>a capital gain</w:t>
      </w:r>
      <w:r w:rsidR="002600D4">
        <w:t>)</w:t>
      </w:r>
      <w:r w:rsidRPr="008732A9">
        <w:t xml:space="preserve">, </w:t>
      </w:r>
      <w:r w:rsidR="002600D4">
        <w:t>the company can deduct the</w:t>
      </w:r>
      <w:r w:rsidRPr="008732A9">
        <w:t xml:space="preserve"> amount of the decrease </w:t>
      </w:r>
      <w:r w:rsidR="002600D4">
        <w:t>in</w:t>
      </w:r>
      <w:r w:rsidRPr="008732A9">
        <w:t xml:space="preserve"> the discovery year</w:t>
      </w:r>
      <w:r>
        <w:t xml:space="preserve"> </w:t>
      </w:r>
    </w:p>
    <w:p w14:paraId="4B026E91" w14:textId="1936F51B" w:rsidR="000F59F3" w:rsidRPr="008732A9" w:rsidRDefault="002E5D85" w:rsidP="000F59F3">
      <w:pPr>
        <w:pStyle w:val="dotpoint"/>
        <w:numPr>
          <w:ilvl w:val="0"/>
          <w:numId w:val="12"/>
        </w:numPr>
        <w:spacing w:before="100" w:after="100"/>
        <w:ind w:left="2269" w:hanging="284"/>
      </w:pPr>
      <w:r>
        <w:lastRenderedPageBreak/>
        <w:t>i</w:t>
      </w:r>
      <w:r w:rsidR="00C55E95">
        <w:t xml:space="preserve">f the relevant character relates to a capital gain, the company must treat the amount of the decrease as a capital loss </w:t>
      </w:r>
      <w:r w:rsidR="002600D4">
        <w:t>in</w:t>
      </w:r>
      <w:r w:rsidR="00C55E95">
        <w:t xml:space="preserve"> the discovery year</w:t>
      </w:r>
      <w:r w:rsidR="002600D4">
        <w:t>;</w:t>
      </w:r>
    </w:p>
    <w:p w14:paraId="37587BAE" w14:textId="4F56A965" w:rsidR="000F59F3" w:rsidRPr="008732A9" w:rsidRDefault="000F59F3" w:rsidP="000F59F3">
      <w:pPr>
        <w:pStyle w:val="dotpoint"/>
        <w:numPr>
          <w:ilvl w:val="0"/>
          <w:numId w:val="12"/>
        </w:numPr>
        <w:spacing w:before="100" w:after="100"/>
        <w:ind w:left="2269" w:hanging="284"/>
      </w:pPr>
      <w:r w:rsidRPr="008732A9">
        <w:t xml:space="preserve">if the relevant character </w:t>
      </w:r>
      <w:r>
        <w:t xml:space="preserve">relates to </w:t>
      </w:r>
      <w:r w:rsidRPr="008732A9">
        <w:t xml:space="preserve">exempt </w:t>
      </w:r>
      <w:r>
        <w:t>income</w:t>
      </w:r>
      <w:r w:rsidRPr="008732A9">
        <w:t xml:space="preserve">, the </w:t>
      </w:r>
      <w:r w:rsidR="00C55E95">
        <w:t xml:space="preserve">company </w:t>
      </w:r>
      <w:r w:rsidRPr="008732A9">
        <w:t xml:space="preserve">must </w:t>
      </w:r>
      <w:r w:rsidR="002600D4">
        <w:t xml:space="preserve">reduce </w:t>
      </w:r>
      <w:r w:rsidR="002600D4" w:rsidRPr="008732A9">
        <w:t xml:space="preserve">the </w:t>
      </w:r>
      <w:r w:rsidR="002600D4">
        <w:t xml:space="preserve">amount of its </w:t>
      </w:r>
      <w:r w:rsidR="002600D4" w:rsidRPr="008732A9">
        <w:t xml:space="preserve">exempt income </w:t>
      </w:r>
      <w:r w:rsidR="002600D4">
        <w:t>by</w:t>
      </w:r>
      <w:r w:rsidRPr="008732A9">
        <w:t xml:space="preserve"> the amount of the decrease </w:t>
      </w:r>
      <w:r w:rsidR="002600D4">
        <w:t>in</w:t>
      </w:r>
      <w:r w:rsidRPr="008732A9">
        <w:t xml:space="preserve"> the discovery year;</w:t>
      </w:r>
      <w:r w:rsidR="002600D4">
        <w:t xml:space="preserve"> or</w:t>
      </w:r>
    </w:p>
    <w:p w14:paraId="588D953B" w14:textId="65A7C33B" w:rsidR="000F59F3" w:rsidRPr="008732A9" w:rsidRDefault="000F59F3" w:rsidP="000F59F3">
      <w:pPr>
        <w:pStyle w:val="dotpoint"/>
        <w:numPr>
          <w:ilvl w:val="0"/>
          <w:numId w:val="12"/>
        </w:numPr>
        <w:spacing w:before="100" w:after="100"/>
        <w:ind w:left="2269" w:hanging="284"/>
      </w:pPr>
      <w:proofErr w:type="gramStart"/>
      <w:r w:rsidRPr="008732A9">
        <w:t>if</w:t>
      </w:r>
      <w:proofErr w:type="gramEnd"/>
      <w:r w:rsidRPr="008732A9">
        <w:t xml:space="preserve"> the relevant character </w:t>
      </w:r>
      <w:r>
        <w:t xml:space="preserve">relates to </w:t>
      </w:r>
      <w:r w:rsidRPr="008732A9">
        <w:t>non</w:t>
      </w:r>
      <w:r w:rsidRPr="008732A9">
        <w:noBreakHyphen/>
        <w:t>assessable non</w:t>
      </w:r>
      <w:r w:rsidRPr="008732A9">
        <w:noBreakHyphen/>
        <w:t xml:space="preserve">exempt income, the </w:t>
      </w:r>
      <w:r>
        <w:t>company</w:t>
      </w:r>
      <w:r w:rsidRPr="008732A9">
        <w:t xml:space="preserve"> must </w:t>
      </w:r>
      <w:r w:rsidR="002600D4">
        <w:t>reduce</w:t>
      </w:r>
      <w:r w:rsidRPr="008732A9">
        <w:t xml:space="preserve"> the amount of</w:t>
      </w:r>
      <w:r w:rsidR="002600D4">
        <w:t xml:space="preserve"> its </w:t>
      </w:r>
      <w:r w:rsidR="002600D4" w:rsidRPr="008732A9">
        <w:t>non</w:t>
      </w:r>
      <w:r w:rsidR="002600D4" w:rsidRPr="008732A9">
        <w:noBreakHyphen/>
        <w:t>assessable non</w:t>
      </w:r>
      <w:r w:rsidR="002600D4" w:rsidRPr="008732A9">
        <w:noBreakHyphen/>
        <w:t>exempt income</w:t>
      </w:r>
      <w:r w:rsidR="002600D4">
        <w:t xml:space="preserve"> by the amount of</w:t>
      </w:r>
      <w:r w:rsidRPr="008732A9">
        <w:t xml:space="preserve"> the decrease </w:t>
      </w:r>
      <w:r w:rsidR="002600D4">
        <w:t>in the discovery year.</w:t>
      </w:r>
    </w:p>
    <w:p w14:paraId="782F284F" w14:textId="33F6BD5C" w:rsidR="00446CF4" w:rsidRDefault="00446CF4" w:rsidP="00446CF4">
      <w:pPr>
        <w:pStyle w:val="base-text-paragraphnonumbers"/>
        <w:rPr>
          <w:rStyle w:val="Referencingstyle"/>
        </w:rPr>
      </w:pPr>
      <w:r>
        <w:rPr>
          <w:rStyle w:val="Referencingstyle"/>
        </w:rPr>
        <w:t>[Schedule 6, item 15, s</w:t>
      </w:r>
      <w:r w:rsidR="00731D0E">
        <w:rPr>
          <w:rStyle w:val="Referencingstyle"/>
        </w:rPr>
        <w:t>ubs</w:t>
      </w:r>
      <w:r>
        <w:rPr>
          <w:rStyle w:val="Referencingstyle"/>
        </w:rPr>
        <w:t>ection</w:t>
      </w:r>
      <w:r w:rsidR="00731D0E">
        <w:rPr>
          <w:rStyle w:val="Referencingstyle"/>
        </w:rPr>
        <w:t>s</w:t>
      </w:r>
      <w:r>
        <w:rPr>
          <w:rStyle w:val="Referencingstyle"/>
        </w:rPr>
        <w:t xml:space="preserve"> 276-970</w:t>
      </w:r>
      <w:r w:rsidR="00731D0E">
        <w:rPr>
          <w:rStyle w:val="Referencingstyle"/>
        </w:rPr>
        <w:t>(1) to (4)</w:t>
      </w:r>
      <w:r w:rsidRPr="0031531E">
        <w:rPr>
          <w:rStyle w:val="Referencingstyle"/>
        </w:rPr>
        <w:t>]</w:t>
      </w:r>
    </w:p>
    <w:p w14:paraId="3A612AB5" w14:textId="60CA2345" w:rsidR="002600D4" w:rsidRPr="00731D0E" w:rsidRDefault="002600D4" w:rsidP="002600D4">
      <w:pPr>
        <w:pStyle w:val="base-text-paragraph"/>
        <w:rPr>
          <w:rStyle w:val="Referencingstyle"/>
          <w:b w:val="0"/>
          <w:i w:val="0"/>
          <w:sz w:val="22"/>
        </w:rPr>
      </w:pPr>
      <w:r>
        <w:t>If the company</w:t>
      </w:r>
      <w:r w:rsidRPr="008732A9">
        <w:t xml:space="preserve"> discovers an under or over that has the effect of decreasing the amount of a</w:t>
      </w:r>
      <w:r>
        <w:t xml:space="preserve"> particular </w:t>
      </w:r>
      <w:r w:rsidRPr="008732A9">
        <w:t xml:space="preserve">character </w:t>
      </w:r>
      <w:r>
        <w:t xml:space="preserve">that is a tax offset </w:t>
      </w:r>
      <w:r w:rsidRPr="008732A9">
        <w:t xml:space="preserve">for the discovery year (worked out on the basis that the </w:t>
      </w:r>
      <w:r w:rsidR="00585007">
        <w:t>excluded sub-fund</w:t>
      </w:r>
      <w:r w:rsidRPr="008732A9">
        <w:t xml:space="preserve"> continued to be an </w:t>
      </w:r>
      <w:r>
        <w:t>ASF</w:t>
      </w:r>
      <w:r w:rsidRPr="008732A9">
        <w:t>), then</w:t>
      </w:r>
      <w:r>
        <w:t xml:space="preserve">, generally, the company must reduce the amount </w:t>
      </w:r>
      <w:r w:rsidR="00731D0E">
        <w:t xml:space="preserve">of the tax offsets </w:t>
      </w:r>
      <w:r w:rsidRPr="008732A9">
        <w:t>of a kind corresponding to that character</w:t>
      </w:r>
      <w:r>
        <w:t xml:space="preserve"> </w:t>
      </w:r>
      <w:r w:rsidR="00731D0E">
        <w:t xml:space="preserve">by the amount of the decrease </w:t>
      </w:r>
      <w:r>
        <w:t>in</w:t>
      </w:r>
      <w:r w:rsidRPr="008732A9">
        <w:t xml:space="preserve"> the discovery yea</w:t>
      </w:r>
      <w:r>
        <w:t>r</w:t>
      </w:r>
      <w:r w:rsidR="00731D0E">
        <w:t xml:space="preserve">. </w:t>
      </w:r>
      <w:r w:rsidR="00731D0E">
        <w:rPr>
          <w:rStyle w:val="Referencingstyle"/>
        </w:rPr>
        <w:t>[S</w:t>
      </w:r>
      <w:r w:rsidR="00D43D5E">
        <w:rPr>
          <w:rStyle w:val="Referencingstyle"/>
        </w:rPr>
        <w:t>chedule 6, item 15, subsections </w:t>
      </w:r>
      <w:r w:rsidR="00731D0E">
        <w:rPr>
          <w:rStyle w:val="Referencingstyle"/>
        </w:rPr>
        <w:t>276-970(1) and (5)</w:t>
      </w:r>
      <w:r w:rsidR="00731D0E" w:rsidRPr="0031531E">
        <w:rPr>
          <w:rStyle w:val="Referencingstyle"/>
        </w:rPr>
        <w:t>]</w:t>
      </w:r>
    </w:p>
    <w:p w14:paraId="07FA8B92" w14:textId="1BCB3662" w:rsidR="00A1414B" w:rsidRDefault="00731D0E" w:rsidP="002600D4">
      <w:pPr>
        <w:pStyle w:val="base-text-paragraph"/>
      </w:pPr>
      <w:r>
        <w:t xml:space="preserve">However, </w:t>
      </w:r>
      <w:r w:rsidR="00A1414B">
        <w:t xml:space="preserve">if </w:t>
      </w:r>
      <w:r w:rsidR="00BA449F">
        <w:t xml:space="preserve">the </w:t>
      </w:r>
      <w:r w:rsidR="00BA449F" w:rsidRPr="008732A9">
        <w:t xml:space="preserve">under or over </w:t>
      </w:r>
      <w:r w:rsidR="00BA449F">
        <w:t xml:space="preserve">that is discovered </w:t>
      </w:r>
      <w:r w:rsidR="00BA449F" w:rsidRPr="008732A9">
        <w:t>has the effect of decreasing the amount of a</w:t>
      </w:r>
      <w:r w:rsidR="00BA449F">
        <w:t xml:space="preserve"> particular </w:t>
      </w:r>
      <w:r w:rsidR="00BA449F" w:rsidRPr="008732A9">
        <w:t xml:space="preserve">character </w:t>
      </w:r>
      <w:r w:rsidR="00BA449F">
        <w:t xml:space="preserve">that is a tax offset and the amount </w:t>
      </w:r>
      <w:r w:rsidR="00667115">
        <w:t xml:space="preserve">discovered </w:t>
      </w:r>
      <w:r w:rsidR="00A1414B">
        <w:t>exceeds the total of the company’s existing tax offsets (before the reduction under subsection 276</w:t>
      </w:r>
      <w:r w:rsidR="00A1414B">
        <w:noBreakHyphen/>
        <w:t>970(5)</w:t>
      </w:r>
      <w:r w:rsidR="00BA449F">
        <w:t>), then</w:t>
      </w:r>
      <w:r w:rsidR="00A1414B">
        <w:t>:</w:t>
      </w:r>
    </w:p>
    <w:p w14:paraId="4718A246" w14:textId="55EA6F3F" w:rsidR="00BA449F" w:rsidRDefault="00BA449F" w:rsidP="00BA449F">
      <w:pPr>
        <w:pStyle w:val="dotpoint"/>
      </w:pPr>
      <w:r>
        <w:t>if the tax offset is not a foreign income tax offset</w:t>
      </w:r>
      <w:r w:rsidR="00A1414B">
        <w:t xml:space="preserve">, the company is liable to pay tax </w:t>
      </w:r>
      <w:r w:rsidR="002B5594">
        <w:t xml:space="preserve">in the discovery year </w:t>
      </w:r>
      <w:r w:rsidR="00A1414B">
        <w:t>on the amount of the excess at a rate of 100 per cent</w:t>
      </w:r>
      <w:r>
        <w:t>; or</w:t>
      </w:r>
    </w:p>
    <w:p w14:paraId="2F3504D4" w14:textId="77777777" w:rsidR="00143D0E" w:rsidRDefault="00BA449F" w:rsidP="00BA449F">
      <w:pPr>
        <w:pStyle w:val="dotpoint"/>
      </w:pPr>
      <w:r>
        <w:t xml:space="preserve">if the tax offset is a foreign income tax offset, the company must include </w:t>
      </w:r>
      <w:r w:rsidR="00143D0E">
        <w:t xml:space="preserve">the </w:t>
      </w:r>
      <w:r>
        <w:t xml:space="preserve">amount </w:t>
      </w:r>
      <w:r w:rsidR="00143D0E">
        <w:t xml:space="preserve">worked out applying the following formula </w:t>
      </w:r>
      <w:r>
        <w:t>in its assessab</w:t>
      </w:r>
      <w:r w:rsidR="00143D0E">
        <w:t>le income in the discovery year:</w:t>
      </w:r>
    </w:p>
    <w:p w14:paraId="499205BB" w14:textId="77777777" w:rsidR="001F16EF" w:rsidRPr="001F16EF" w:rsidRDefault="001F16EF" w:rsidP="00143D0E">
      <w:pPr>
        <w:pStyle w:val="base-text-paragraphnonumbers"/>
      </w:pPr>
      <m:oMathPara>
        <m:oMath>
          <m:r>
            <m:rPr>
              <m:nor/>
            </m:rPr>
            <m:t>Amount of excess</m:t>
          </m:r>
        </m:oMath>
      </m:oMathPara>
    </w:p>
    <w:p w14:paraId="062A06BC" w14:textId="77777777" w:rsidR="001F16EF" w:rsidRPr="001F16EF" w:rsidRDefault="001F16EF" w:rsidP="00143D0E">
      <w:pPr>
        <w:pStyle w:val="base-text-paragraphnonumbers"/>
      </w:pPr>
      <m:oMathPara>
        <m:oMath>
          <m:r>
            <m:rPr>
              <m:nor/>
            </m:rPr>
            <m:t xml:space="preserve"> + </m:t>
          </m:r>
        </m:oMath>
      </m:oMathPara>
    </w:p>
    <w:p w14:paraId="486B8440" w14:textId="1550FC78" w:rsidR="00143D0E" w:rsidRPr="001F16EF" w:rsidRDefault="00AE76D9" w:rsidP="00143D0E">
      <w:pPr>
        <w:pStyle w:val="base-text-paragraphnonumbers"/>
      </w:pPr>
      <m:oMathPara>
        <m:oMath>
          <m:d>
            <m:dPr>
              <m:ctrlPr>
                <w:rPr>
                  <w:rFonts w:ascii="Cambria Math" w:hAnsi="Cambria Math"/>
                  <w:i/>
                </w:rPr>
              </m:ctrlPr>
            </m:dPr>
            <m:e>
              <m:r>
                <m:rPr>
                  <m:nor/>
                </m:rPr>
                <m:t>Amount of excess × Corporate tax gross-up rate</m:t>
              </m:r>
            </m:e>
          </m:d>
        </m:oMath>
      </m:oMathPara>
    </w:p>
    <w:p w14:paraId="432DB8DB" w14:textId="4F8F402F" w:rsidR="00A1414B" w:rsidRDefault="00A1414B" w:rsidP="000D1D78">
      <w:pPr>
        <w:pStyle w:val="base-text-paragraphnonumbers"/>
        <w:rPr>
          <w:rStyle w:val="Referencingstyle"/>
        </w:rPr>
      </w:pPr>
      <w:r>
        <w:rPr>
          <w:rStyle w:val="Referencingstyle"/>
        </w:rPr>
        <w:t>[Schedule 6, item 15, subsection</w:t>
      </w:r>
      <w:r w:rsidR="000D1D78">
        <w:rPr>
          <w:rStyle w:val="Referencingstyle"/>
        </w:rPr>
        <w:t>s</w:t>
      </w:r>
      <w:r>
        <w:rPr>
          <w:rStyle w:val="Referencingstyle"/>
        </w:rPr>
        <w:t xml:space="preserve"> 276-970(1)</w:t>
      </w:r>
      <w:r w:rsidR="000D1D78">
        <w:rPr>
          <w:rStyle w:val="Referencingstyle"/>
        </w:rPr>
        <w:t>, (6) and (7)</w:t>
      </w:r>
      <w:r w:rsidRPr="0031531E">
        <w:rPr>
          <w:rStyle w:val="Referencingstyle"/>
        </w:rPr>
        <w:t>]</w:t>
      </w:r>
    </w:p>
    <w:p w14:paraId="6DE6697A" w14:textId="01A622BA" w:rsidR="001F16EF" w:rsidRDefault="001F16EF" w:rsidP="001F16EF">
      <w:pPr>
        <w:pStyle w:val="base-text-paragraph"/>
      </w:pPr>
      <w:r>
        <w:t>In this regard, the corporate tax gross</w:t>
      </w:r>
      <w:r>
        <w:noBreakHyphen/>
        <w:t>up rate is defined in subsection 995</w:t>
      </w:r>
      <w:r>
        <w:noBreakHyphen/>
      </w:r>
      <w:proofErr w:type="gramStart"/>
      <w:r>
        <w:t>1(</w:t>
      </w:r>
      <w:proofErr w:type="gramEnd"/>
      <w:r>
        <w:t>1).</w:t>
      </w:r>
    </w:p>
    <w:p w14:paraId="3596F13A" w14:textId="24CEE2AC" w:rsidR="00096F05" w:rsidRPr="00BF3D02" w:rsidRDefault="00096F05" w:rsidP="00096F05">
      <w:pPr>
        <w:pStyle w:val="Heading3"/>
      </w:pPr>
      <w:r w:rsidRPr="00CC593E">
        <w:t xml:space="preserve">CCIV liable to tax in </w:t>
      </w:r>
      <w:r w:rsidR="00CC593E" w:rsidRPr="00CC593E">
        <w:t>certain</w:t>
      </w:r>
      <w:r w:rsidR="00CC593E">
        <w:t xml:space="preserve"> circumstances</w:t>
      </w:r>
    </w:p>
    <w:p w14:paraId="4B8443E4" w14:textId="4568F141" w:rsidR="00CC593E" w:rsidRDefault="00CC593E" w:rsidP="00CC593E">
      <w:pPr>
        <w:pStyle w:val="base-text-paragraph"/>
      </w:pPr>
      <w:r w:rsidRPr="00CC593E">
        <w:t xml:space="preserve">A CCIV will be liable to tax in certain circumstances. Any tax liability incurred must be </w:t>
      </w:r>
      <w:r w:rsidR="00FC4132">
        <w:t>in respect of</w:t>
      </w:r>
      <w:r w:rsidRPr="00CC593E">
        <w:t xml:space="preserve"> the sub</w:t>
      </w:r>
      <w:r w:rsidRPr="00CC593E">
        <w:noBreakHyphen/>
        <w:t xml:space="preserve">fund to which the liability relates. </w:t>
      </w:r>
    </w:p>
    <w:p w14:paraId="4F9DC5D9" w14:textId="34EDB894" w:rsidR="00CC593E" w:rsidRPr="00CC593E" w:rsidRDefault="00CC593E" w:rsidP="00CC593E">
      <w:pPr>
        <w:pStyle w:val="base-text-paragraph"/>
      </w:pPr>
      <w:r w:rsidRPr="00CC593E">
        <w:lastRenderedPageBreak/>
        <w:t>If a sub</w:t>
      </w:r>
      <w:r w:rsidRPr="00CC593E">
        <w:noBreakHyphen/>
        <w:t>fund of a CCIV is an ASF, then for the purpose of working out the assessable income, non</w:t>
      </w:r>
      <w:r w:rsidRPr="00CC593E">
        <w:noBreakHyphen/>
        <w:t>assessable non</w:t>
      </w:r>
      <w:r w:rsidRPr="00CC593E">
        <w:noBreakHyphen/>
        <w:t>exempt income, capital gains</w:t>
      </w:r>
      <w:r w:rsidR="00BE5BAA">
        <w:t xml:space="preserve"> and</w:t>
      </w:r>
      <w:r w:rsidRPr="00CC593E">
        <w:t xml:space="preserve"> net capital losses of a member of the ASF, amounts derived, received or made by the CCIV that are reflected in the determined member component are taken to have been derived, received or made by the member (rather than by the CCIV). </w:t>
      </w:r>
      <w:r w:rsidRPr="00CC593E">
        <w:rPr>
          <w:rStyle w:val="Referencingstyle"/>
        </w:rPr>
        <w:t>[Schedule 2, item 14, subsection 276</w:t>
      </w:r>
      <w:r w:rsidRPr="00CC593E">
        <w:rPr>
          <w:rStyle w:val="Referencingstyle"/>
        </w:rPr>
        <w:noBreakHyphen/>
        <w:t>80(2)]</w:t>
      </w:r>
    </w:p>
    <w:p w14:paraId="72BBF896" w14:textId="77777777" w:rsidR="00CC593E" w:rsidRPr="00CC593E" w:rsidRDefault="00CC593E" w:rsidP="00CC593E">
      <w:pPr>
        <w:pStyle w:val="base-text-paragraph"/>
      </w:pPr>
      <w:r w:rsidRPr="00CC593E">
        <w:t>As members of the ASF are liable to pay income tax on amounts that are attributed to them by the CCIV, the CCIV will not be liable to pay income tax in respect to these amounts.</w:t>
      </w:r>
    </w:p>
    <w:p w14:paraId="7AB11403" w14:textId="57BBB4EB" w:rsidR="00096F05" w:rsidRDefault="00CC593E" w:rsidP="00096F05">
      <w:pPr>
        <w:pStyle w:val="base-text-paragraph"/>
        <w:numPr>
          <w:ilvl w:val="1"/>
          <w:numId w:val="7"/>
        </w:numPr>
      </w:pPr>
      <w:r>
        <w:t>However, u</w:t>
      </w:r>
      <w:r w:rsidR="00096F05" w:rsidRPr="00CC593E">
        <w:t>nder</w:t>
      </w:r>
      <w:r w:rsidR="00096F05" w:rsidRPr="00BF3D02">
        <w:t xml:space="preserve"> the </w:t>
      </w:r>
      <w:r w:rsidR="00096F05">
        <w:t xml:space="preserve">attribution model, </w:t>
      </w:r>
      <w:r w:rsidRPr="00CC593E">
        <w:t>a</w:t>
      </w:r>
      <w:r w:rsidR="00096F05">
        <w:t xml:space="preserve"> CCIV will be liable to tax </w:t>
      </w:r>
      <w:r w:rsidR="00096F05" w:rsidRPr="00CC593E">
        <w:t>in relation to an ASF</w:t>
      </w:r>
      <w:r w:rsidR="00096F05">
        <w:t xml:space="preserve">: </w:t>
      </w:r>
    </w:p>
    <w:p w14:paraId="76599E0A" w14:textId="77777777" w:rsidR="00096F05" w:rsidRPr="00BF3D02" w:rsidRDefault="00096F05" w:rsidP="00096F05">
      <w:pPr>
        <w:pStyle w:val="dotpoint"/>
      </w:pPr>
      <w:r w:rsidRPr="00BF3D02">
        <w:t>if a discrepancy occurs in attributing component amounts to members in some circumstances;</w:t>
      </w:r>
    </w:p>
    <w:p w14:paraId="6710D580" w14:textId="77777777" w:rsidR="00096F05" w:rsidRPr="00BF3D02" w:rsidRDefault="00096F05" w:rsidP="00096F05">
      <w:pPr>
        <w:pStyle w:val="dotpoint"/>
      </w:pPr>
      <w:r w:rsidRPr="00BF3D02">
        <w:t>on amounts attributed to a foreign resident member in some circumstances; and</w:t>
      </w:r>
    </w:p>
    <w:p w14:paraId="0BDB70AF" w14:textId="77777777" w:rsidR="00096F05" w:rsidRPr="00BF3D02" w:rsidRDefault="00096F05" w:rsidP="00096F05">
      <w:pPr>
        <w:pStyle w:val="dotpoint"/>
      </w:pPr>
      <w:proofErr w:type="gramStart"/>
      <w:r w:rsidRPr="00BF3D02">
        <w:t>on</w:t>
      </w:r>
      <w:proofErr w:type="gramEnd"/>
      <w:r w:rsidRPr="00BF3D02">
        <w:t xml:space="preserve"> non</w:t>
      </w:r>
      <w:r w:rsidRPr="00BF3D02">
        <w:noBreakHyphen/>
        <w:t>arm’s length income.</w:t>
      </w:r>
    </w:p>
    <w:p w14:paraId="51008F45" w14:textId="7F915183" w:rsidR="00CC593E" w:rsidRPr="00BF3D02" w:rsidRDefault="00CC593E" w:rsidP="00CC593E">
      <w:pPr>
        <w:pStyle w:val="base-text-paragraph"/>
      </w:pPr>
      <w:r>
        <w:t>In addition, a CCIV will be liable to tax on the taxable income of an excluded sub</w:t>
      </w:r>
      <w:r>
        <w:noBreakHyphen/>
        <w:t>fund.</w:t>
      </w:r>
    </w:p>
    <w:p w14:paraId="1DCCA1C3" w14:textId="5F8092D3" w:rsidR="00096F05" w:rsidRPr="00BF3D02" w:rsidRDefault="00096F05" w:rsidP="00096F05">
      <w:pPr>
        <w:pStyle w:val="Heading4"/>
      </w:pPr>
      <w:r w:rsidRPr="00BF3D02">
        <w:t>Discrepancy in component attribution</w:t>
      </w:r>
      <w:r w:rsidR="00CC593E">
        <w:t xml:space="preserve"> of an ASF</w:t>
      </w:r>
    </w:p>
    <w:p w14:paraId="4E666545" w14:textId="2B4045D8" w:rsidR="00096F05" w:rsidRDefault="00096F05" w:rsidP="00096F05">
      <w:pPr>
        <w:pStyle w:val="base-text-paragraph"/>
        <w:numPr>
          <w:ilvl w:val="1"/>
          <w:numId w:val="7"/>
        </w:numPr>
      </w:pPr>
      <w:r w:rsidRPr="00A90C5E">
        <w:t xml:space="preserve">The amendments </w:t>
      </w:r>
      <w:r>
        <w:t xml:space="preserve">in </w:t>
      </w:r>
      <w:r w:rsidRPr="00BF3D02">
        <w:t xml:space="preserve">Schedule </w:t>
      </w:r>
      <w:r>
        <w:t>2</w:t>
      </w:r>
      <w:r w:rsidRPr="00BF3D02">
        <w:t xml:space="preserve"> to th</w:t>
      </w:r>
      <w:r>
        <w:t>e</w:t>
      </w:r>
      <w:r w:rsidRPr="00BF3D02">
        <w:t xml:space="preserve"> </w:t>
      </w:r>
      <w:r>
        <w:t xml:space="preserve">Exposure Draft </w:t>
      </w:r>
      <w:r w:rsidRPr="00BF3D02">
        <w:t>Bill</w:t>
      </w:r>
      <w:r>
        <w:t xml:space="preserve"> </w:t>
      </w:r>
      <w:r w:rsidRPr="00A90C5E">
        <w:t xml:space="preserve">adjust the current provisions </w:t>
      </w:r>
      <w:r>
        <w:t xml:space="preserve">which apply to AMITs </w:t>
      </w:r>
      <w:r w:rsidR="00D91111">
        <w:t>to</w:t>
      </w:r>
      <w:r>
        <w:t xml:space="preserve"> ensure that the same </w:t>
      </w:r>
      <w:r w:rsidRPr="00A90C5E">
        <w:t xml:space="preserve">principles and outcomes </w:t>
      </w:r>
      <w:r>
        <w:t>apply for AIVs.</w:t>
      </w:r>
      <w:r w:rsidRPr="00CF52D0">
        <w:t xml:space="preserve"> </w:t>
      </w:r>
      <w:r w:rsidR="00540F36">
        <w:rPr>
          <w:rStyle w:val="Referencingstyle"/>
        </w:rPr>
        <w:t>[Schedule 2, items 187</w:t>
      </w:r>
      <w:r>
        <w:rPr>
          <w:rStyle w:val="Referencingstyle"/>
        </w:rPr>
        <w:t xml:space="preserve"> to 22</w:t>
      </w:r>
      <w:r w:rsidR="00540F36">
        <w:rPr>
          <w:rStyle w:val="Referencingstyle"/>
        </w:rPr>
        <w:t>7</w:t>
      </w:r>
      <w:r>
        <w:rPr>
          <w:rStyle w:val="Referencingstyle"/>
        </w:rPr>
        <w:t>, sections 276</w:t>
      </w:r>
      <w:r>
        <w:rPr>
          <w:rStyle w:val="Referencingstyle"/>
        </w:rPr>
        <w:noBreakHyphen/>
      </w:r>
      <w:r w:rsidRPr="00CF52D0">
        <w:rPr>
          <w:rStyle w:val="Referencingstyle"/>
        </w:rPr>
        <w:t>400 to 276-425]</w:t>
      </w:r>
    </w:p>
    <w:p w14:paraId="4947E115" w14:textId="77777777" w:rsidR="00096F05" w:rsidRDefault="00096F05" w:rsidP="00096F05">
      <w:pPr>
        <w:pStyle w:val="base-text-paragraph"/>
        <w:numPr>
          <w:ilvl w:val="1"/>
          <w:numId w:val="7"/>
        </w:numPr>
      </w:pPr>
      <w:r>
        <w:t xml:space="preserve">That is: </w:t>
      </w:r>
    </w:p>
    <w:p w14:paraId="6592B460" w14:textId="77777777" w:rsidR="00096F05" w:rsidRDefault="00096F05" w:rsidP="00096F05">
      <w:pPr>
        <w:pStyle w:val="dotpoint"/>
      </w:pPr>
      <w:r w:rsidRPr="00A90C5E">
        <w:t xml:space="preserve">if the AIV is an </w:t>
      </w:r>
      <w:r>
        <w:t>ASF</w:t>
      </w:r>
      <w:r w:rsidRPr="00A90C5E">
        <w:t xml:space="preserve">, </w:t>
      </w:r>
      <w:r>
        <w:t>the CCIV is liable to tax; and</w:t>
      </w:r>
    </w:p>
    <w:p w14:paraId="481EA73C" w14:textId="77777777" w:rsidR="00096F05" w:rsidRDefault="00096F05" w:rsidP="00096F05">
      <w:pPr>
        <w:pStyle w:val="dotpoint"/>
      </w:pPr>
      <w:proofErr w:type="gramStart"/>
      <w:r w:rsidRPr="00A90C5E">
        <w:t>if</w:t>
      </w:r>
      <w:proofErr w:type="gramEnd"/>
      <w:r w:rsidRPr="00A90C5E">
        <w:t xml:space="preserve"> the AIV is an AMIT, the trustee of the AMIT is liable to tax. </w:t>
      </w:r>
    </w:p>
    <w:p w14:paraId="5B0272E6" w14:textId="4A2465BB" w:rsidR="00096F05" w:rsidRDefault="00096F05" w:rsidP="00096F05">
      <w:pPr>
        <w:pStyle w:val="base-text-paragraph"/>
        <w:numPr>
          <w:ilvl w:val="1"/>
          <w:numId w:val="7"/>
        </w:numPr>
      </w:pPr>
      <w:r w:rsidRPr="00BF3D02">
        <w:t xml:space="preserve">It is appropriate to tax the </w:t>
      </w:r>
      <w:r>
        <w:t xml:space="preserve">CCIV </w:t>
      </w:r>
      <w:r w:rsidR="005C0B60">
        <w:t>in these circumstances to ensure</w:t>
      </w:r>
      <w:r w:rsidRPr="00BF3D02">
        <w:t xml:space="preserve"> that taxable income derived by the </w:t>
      </w:r>
      <w:r>
        <w:t>CCIV</w:t>
      </w:r>
      <w:r w:rsidRPr="00BF3D02">
        <w:t xml:space="preserve"> for an income year does not escape taxation </w:t>
      </w:r>
      <w:r>
        <w:t>—</w:t>
      </w:r>
      <w:r w:rsidRPr="00BF3D02">
        <w:t xml:space="preserve"> that is, </w:t>
      </w:r>
      <w:r w:rsidR="00D91111">
        <w:t xml:space="preserve">subject to the operation of the </w:t>
      </w:r>
      <w:proofErr w:type="spellStart"/>
      <w:r w:rsidR="00D91111">
        <w:t>unders</w:t>
      </w:r>
      <w:proofErr w:type="spellEnd"/>
      <w:r w:rsidR="00D91111">
        <w:t xml:space="preserve"> and overs regime, </w:t>
      </w:r>
      <w:r w:rsidRPr="00BF3D02">
        <w:t xml:space="preserve">where the income is not attributed to members and taxed at the member level, it should be taxed at the </w:t>
      </w:r>
      <w:r>
        <w:t>CCIV</w:t>
      </w:r>
      <w:r w:rsidRPr="00BF3D02">
        <w:t xml:space="preserve"> level. </w:t>
      </w:r>
    </w:p>
    <w:p w14:paraId="07FED40D" w14:textId="77777777" w:rsidR="00096F05" w:rsidRPr="00BF3D02" w:rsidRDefault="00096F05" w:rsidP="00096F05">
      <w:pPr>
        <w:pStyle w:val="base-text-paragraph"/>
        <w:numPr>
          <w:ilvl w:val="1"/>
          <w:numId w:val="7"/>
        </w:numPr>
      </w:pPr>
      <w:r w:rsidRPr="00BF3D02">
        <w:t>The Commissioner may also remit</w:t>
      </w:r>
      <w:r>
        <w:t>,</w:t>
      </w:r>
      <w:r w:rsidRPr="00BF3D02">
        <w:t xml:space="preserve"> in whole or </w:t>
      </w:r>
      <w:r>
        <w:t>in</w:t>
      </w:r>
      <w:r w:rsidRPr="00BF3D02">
        <w:t xml:space="preserve"> part</w:t>
      </w:r>
      <w:r>
        <w:t>,</w:t>
      </w:r>
      <w:r w:rsidRPr="00BF3D02">
        <w:t xml:space="preserve"> an inc</w:t>
      </w:r>
      <w:r>
        <w:t xml:space="preserve">ome tax liability that arises from </w:t>
      </w:r>
      <w:r w:rsidRPr="00BF3D02">
        <w:t>these types of discrepancies, if the Commissioner is satisfied that the remission would not result in a detriment to the revenue</w:t>
      </w:r>
      <w:r>
        <w:t xml:space="preserve"> (see section 276-430)</w:t>
      </w:r>
      <w:r w:rsidRPr="00BF3D02">
        <w:t>.</w:t>
      </w:r>
    </w:p>
    <w:p w14:paraId="561998D0" w14:textId="77777777" w:rsidR="00096F05" w:rsidRPr="00BF3D02" w:rsidRDefault="00096F05" w:rsidP="00096F05">
      <w:pPr>
        <w:pStyle w:val="base-text-paragraph"/>
        <w:numPr>
          <w:ilvl w:val="1"/>
          <w:numId w:val="7"/>
        </w:numPr>
      </w:pPr>
      <w:r w:rsidRPr="00BF3D02">
        <w:t xml:space="preserve">Under the </w:t>
      </w:r>
      <w:r>
        <w:t>ASF</w:t>
      </w:r>
      <w:r w:rsidRPr="00BF3D02">
        <w:t xml:space="preserve"> attribution model, the </w:t>
      </w:r>
      <w:r>
        <w:t xml:space="preserve">CCIV </w:t>
      </w:r>
      <w:r w:rsidRPr="00BF3D02">
        <w:t>may be liable to income tax where:</w:t>
      </w:r>
    </w:p>
    <w:p w14:paraId="2F085634" w14:textId="77777777" w:rsidR="00096F05" w:rsidRPr="00BF3D02" w:rsidRDefault="00096F05" w:rsidP="00096F05">
      <w:pPr>
        <w:pStyle w:val="dotpoint"/>
      </w:pPr>
      <w:r w:rsidRPr="00BF3D02">
        <w:lastRenderedPageBreak/>
        <w:t>a shortfall arises in the determined member component of a particular character that relates to assessable income;</w:t>
      </w:r>
    </w:p>
    <w:p w14:paraId="6DDFDF48" w14:textId="77777777" w:rsidR="00096F05" w:rsidRPr="00BF3D02" w:rsidRDefault="00096F05" w:rsidP="00096F05">
      <w:pPr>
        <w:pStyle w:val="dotpoint"/>
      </w:pPr>
      <w:r w:rsidRPr="00BF3D02">
        <w:t>an excess arises in the determined member component of a particular character that relates to a tax offset;</w:t>
      </w:r>
    </w:p>
    <w:p w14:paraId="4085B78E" w14:textId="77777777" w:rsidR="00096F05" w:rsidRPr="00BF3D02" w:rsidRDefault="00096F05" w:rsidP="00096F05">
      <w:pPr>
        <w:pStyle w:val="dotpoint"/>
      </w:pPr>
      <w:r w:rsidRPr="00BF3D02">
        <w:t>the determined member component of a particular character that relate</w:t>
      </w:r>
      <w:r>
        <w:t>s</w:t>
      </w:r>
      <w:r w:rsidRPr="00BF3D02">
        <w:t xml:space="preserve"> to assessable income is less than the determined </w:t>
      </w:r>
      <w:r>
        <w:t>AIV</w:t>
      </w:r>
      <w:r w:rsidRPr="00BF3D02">
        <w:t xml:space="preserve"> component;</w:t>
      </w:r>
    </w:p>
    <w:p w14:paraId="64DF99BA" w14:textId="77777777" w:rsidR="00096F05" w:rsidRPr="00BF3D02" w:rsidRDefault="00096F05" w:rsidP="00096F05">
      <w:pPr>
        <w:pStyle w:val="dotpoint"/>
      </w:pPr>
      <w:r>
        <w:t>‘</w:t>
      </w:r>
      <w:proofErr w:type="spellStart"/>
      <w:r w:rsidRPr="00BF3D02">
        <w:t>unders</w:t>
      </w:r>
      <w:proofErr w:type="spellEnd"/>
      <w:r>
        <w:t>’</w:t>
      </w:r>
      <w:r w:rsidRPr="00BF3D02">
        <w:t xml:space="preserve"> of a particular character that relate to assessable income are not properly carried forward; and</w:t>
      </w:r>
    </w:p>
    <w:p w14:paraId="711957EC" w14:textId="77777777" w:rsidR="00096F05" w:rsidRDefault="00096F05" w:rsidP="00096F05">
      <w:pPr>
        <w:pStyle w:val="dotpoint"/>
      </w:pPr>
      <w:r>
        <w:t>‘</w:t>
      </w:r>
      <w:proofErr w:type="gramStart"/>
      <w:r w:rsidRPr="00BF3D02">
        <w:t>overs</w:t>
      </w:r>
      <w:proofErr w:type="gramEnd"/>
      <w:r>
        <w:t>’</w:t>
      </w:r>
      <w:r w:rsidRPr="00BF3D02">
        <w:t xml:space="preserve"> of a particular character that relate to a tax offset ar</w:t>
      </w:r>
      <w:r>
        <w:t>e not properly carried forward.</w:t>
      </w:r>
    </w:p>
    <w:p w14:paraId="744EF364" w14:textId="493E17C4" w:rsidR="00096F05" w:rsidRPr="00BF3D02" w:rsidRDefault="00096F05" w:rsidP="00096F05">
      <w:pPr>
        <w:pStyle w:val="Heading4"/>
      </w:pPr>
      <w:r w:rsidRPr="00BF3D02">
        <w:t>Amounts attributed to a foreign resident member</w:t>
      </w:r>
      <w:r w:rsidR="00CC593E">
        <w:t xml:space="preserve"> of an ASF</w:t>
      </w:r>
    </w:p>
    <w:p w14:paraId="13DC2A82" w14:textId="77777777" w:rsidR="00096F05" w:rsidRPr="00BF3D02" w:rsidRDefault="00096F05" w:rsidP="00096F05">
      <w:pPr>
        <w:pStyle w:val="base-text-paragraph"/>
        <w:numPr>
          <w:ilvl w:val="1"/>
          <w:numId w:val="7"/>
        </w:numPr>
      </w:pPr>
      <w:r w:rsidRPr="00BF3D02">
        <w:t xml:space="preserve">Under the AMIT attribution model, the trustee of an AMIT that is </w:t>
      </w:r>
      <w:r w:rsidRPr="00693BAB">
        <w:t>not</w:t>
      </w:r>
      <w:r w:rsidRPr="00BF3D02">
        <w:t xml:space="preserve"> a withholding MIT is liable for income tax on certain amounts attributed to a foreign resident member. The applicable rate depends on</w:t>
      </w:r>
      <w:r>
        <w:t xml:space="preserve"> what type of entity the member is. I</w:t>
      </w:r>
      <w:r w:rsidRPr="00BF3D02">
        <w:t xml:space="preserve">f the member is not a trustee, they are entitled to receive a refundable tax offset for the amount of tax paid by the trustee of the AMIT. </w:t>
      </w:r>
    </w:p>
    <w:p w14:paraId="0057755A" w14:textId="108A0D61" w:rsidR="00096F05" w:rsidRPr="00BF3D02" w:rsidRDefault="00096F05" w:rsidP="00096F05">
      <w:pPr>
        <w:pStyle w:val="base-text-paragraph"/>
        <w:numPr>
          <w:ilvl w:val="1"/>
          <w:numId w:val="7"/>
        </w:numPr>
      </w:pPr>
      <w:r w:rsidRPr="00BF3D02">
        <w:t xml:space="preserve">The amendments </w:t>
      </w:r>
      <w:r>
        <w:t xml:space="preserve">in </w:t>
      </w:r>
      <w:r w:rsidRPr="00BF3D02">
        <w:t xml:space="preserve">Schedule </w:t>
      </w:r>
      <w:r>
        <w:t>2</w:t>
      </w:r>
      <w:r w:rsidRPr="00BF3D02">
        <w:t xml:space="preserve"> to th</w:t>
      </w:r>
      <w:r>
        <w:t>e</w:t>
      </w:r>
      <w:r w:rsidRPr="00BF3D02">
        <w:t xml:space="preserve"> </w:t>
      </w:r>
      <w:r>
        <w:t xml:space="preserve">Exposure Draft </w:t>
      </w:r>
      <w:r w:rsidRPr="00BF3D02">
        <w:t xml:space="preserve">Bill </w:t>
      </w:r>
      <w:r w:rsidR="00D91111">
        <w:t>extend</w:t>
      </w:r>
      <w:r w:rsidRPr="00BF3D02">
        <w:t xml:space="preserve"> this rule </w:t>
      </w:r>
      <w:r w:rsidR="00D91111">
        <w:t xml:space="preserve">so that </w:t>
      </w:r>
      <w:r w:rsidR="00BE5BAA">
        <w:t>it</w:t>
      </w:r>
      <w:r w:rsidR="00D91111">
        <w:t xml:space="preserve"> applies </w:t>
      </w:r>
      <w:r w:rsidRPr="00BF3D02">
        <w:t xml:space="preserve">to </w:t>
      </w:r>
      <w:r>
        <w:t>AIVs</w:t>
      </w:r>
      <w:r w:rsidR="00D91111">
        <w:t xml:space="preserve"> </w:t>
      </w:r>
      <w:r w:rsidR="00585007">
        <w:t>—</w:t>
      </w:r>
      <w:r w:rsidR="00D91111">
        <w:t xml:space="preserve"> </w:t>
      </w:r>
      <w:r>
        <w:t>that is, the CCIV</w:t>
      </w:r>
      <w:r w:rsidRPr="00BF3D02">
        <w:t xml:space="preserve"> or the trustee of an AMIT is liable to income tax where certain amounts are attributed to a foreign resident member.</w:t>
      </w:r>
      <w:r w:rsidRPr="00693BAB">
        <w:rPr>
          <w:rStyle w:val="Referencingstyle"/>
        </w:rPr>
        <w:t xml:space="preserve"> [Sch</w:t>
      </w:r>
      <w:r>
        <w:rPr>
          <w:rStyle w:val="Referencingstyle"/>
        </w:rPr>
        <w:t>edule 2</w:t>
      </w:r>
      <w:r w:rsidR="003D141A">
        <w:rPr>
          <w:rStyle w:val="Referencingstyle"/>
        </w:rPr>
        <w:t>, items 37 to 52</w:t>
      </w:r>
      <w:r w:rsidRPr="00693BAB">
        <w:rPr>
          <w:rStyle w:val="Referencingstyle"/>
        </w:rPr>
        <w:t>, section</w:t>
      </w:r>
      <w:r>
        <w:rPr>
          <w:rStyle w:val="Referencingstyle"/>
        </w:rPr>
        <w:t>s</w:t>
      </w:r>
      <w:r w:rsidR="00585007">
        <w:rPr>
          <w:rStyle w:val="Referencingstyle"/>
        </w:rPr>
        <w:t> </w:t>
      </w:r>
      <w:r w:rsidRPr="00693BAB">
        <w:rPr>
          <w:rStyle w:val="Referencingstyle"/>
        </w:rPr>
        <w:t>276</w:t>
      </w:r>
      <w:r w:rsidRPr="00693BAB">
        <w:rPr>
          <w:rStyle w:val="Referencingstyle"/>
        </w:rPr>
        <w:noBreakHyphen/>
        <w:t>105</w:t>
      </w:r>
      <w:r>
        <w:rPr>
          <w:rStyle w:val="Referencingstyle"/>
        </w:rPr>
        <w:t xml:space="preserve"> and 276</w:t>
      </w:r>
      <w:r>
        <w:rPr>
          <w:rStyle w:val="Referencingstyle"/>
        </w:rPr>
        <w:noBreakHyphen/>
        <w:t>110</w:t>
      </w:r>
      <w:r w:rsidRPr="00693BAB">
        <w:rPr>
          <w:rStyle w:val="Referencingstyle"/>
        </w:rPr>
        <w:t>]</w:t>
      </w:r>
    </w:p>
    <w:p w14:paraId="363DB30C" w14:textId="4C01DAFC" w:rsidR="00096F05" w:rsidRPr="00BF3D02" w:rsidRDefault="00096F05" w:rsidP="00096F05">
      <w:pPr>
        <w:pStyle w:val="Heading4"/>
      </w:pPr>
      <w:r w:rsidRPr="00BF3D02">
        <w:t>Non</w:t>
      </w:r>
      <w:r w:rsidRPr="00BF3D02">
        <w:noBreakHyphen/>
        <w:t>arm’s length income</w:t>
      </w:r>
      <w:r w:rsidR="00CC593E">
        <w:t xml:space="preserve"> of an ASF</w:t>
      </w:r>
    </w:p>
    <w:p w14:paraId="780A936C" w14:textId="77777777" w:rsidR="00096F05" w:rsidRPr="008C026C" w:rsidRDefault="00096F05" w:rsidP="00096F05">
      <w:pPr>
        <w:pStyle w:val="base-text-paragraph"/>
        <w:numPr>
          <w:ilvl w:val="1"/>
          <w:numId w:val="7"/>
        </w:numPr>
      </w:pPr>
      <w:r>
        <w:t xml:space="preserve">The amendments in </w:t>
      </w:r>
      <w:r w:rsidRPr="00BF3D02">
        <w:t xml:space="preserve">Schedule </w:t>
      </w:r>
      <w:r>
        <w:t>7</w:t>
      </w:r>
      <w:r w:rsidRPr="00BF3D02">
        <w:t xml:space="preserve"> to th</w:t>
      </w:r>
      <w:r>
        <w:t>e</w:t>
      </w:r>
      <w:r w:rsidRPr="00BF3D02">
        <w:t xml:space="preserve"> </w:t>
      </w:r>
      <w:r>
        <w:t xml:space="preserve">Exposure Draft </w:t>
      </w:r>
      <w:r w:rsidRPr="00BF3D02">
        <w:t>Bill</w:t>
      </w:r>
      <w:r>
        <w:t xml:space="preserve"> introduce an </w:t>
      </w:r>
      <w:r w:rsidRPr="00BF3D02">
        <w:t xml:space="preserve">AIV specific arm’s length income rule </w:t>
      </w:r>
      <w:r>
        <w:t>which operates in the same way as</w:t>
      </w:r>
      <w:r w:rsidRPr="00BF3D02">
        <w:t xml:space="preserve"> the existing arm</w:t>
      </w:r>
      <w:r>
        <w:t xml:space="preserve">’s length income rule for </w:t>
      </w:r>
      <w:proofErr w:type="gramStart"/>
      <w:r>
        <w:t>MITs,</w:t>
      </w:r>
      <w:proofErr w:type="gramEnd"/>
      <w:r>
        <w:t xml:space="preserve"> including amounts specifically excluded from the rule</w:t>
      </w:r>
      <w:r w:rsidRPr="00BF3D02">
        <w:t xml:space="preserve"> (see Subdivision 275</w:t>
      </w:r>
      <w:r w:rsidRPr="00BF3D02">
        <w:noBreakHyphen/>
        <w:t xml:space="preserve">L). </w:t>
      </w:r>
      <w:r>
        <w:t>T</w:t>
      </w:r>
      <w:r w:rsidRPr="00BF3D02">
        <w:t>he Commissioner may make a determination in writing that specifies an amount of non</w:t>
      </w:r>
      <w:r w:rsidRPr="00BF3D02">
        <w:noBreakHyphen/>
        <w:t>arm’s length income for a specific AIV in relation t</w:t>
      </w:r>
      <w:r>
        <w:t xml:space="preserve">o a specified income year. The </w:t>
      </w:r>
      <w:r w:rsidRPr="00BF3D02">
        <w:t>CCIV, or the trustee of the AMIT, is liable to pay tax o</w:t>
      </w:r>
      <w:r>
        <w:t>n the non</w:t>
      </w:r>
      <w:r>
        <w:noBreakHyphen/>
        <w:t xml:space="preserve">arm’s length income. </w:t>
      </w:r>
      <w:r>
        <w:rPr>
          <w:rStyle w:val="Referencingstyle"/>
        </w:rPr>
        <w:t>[Schedule 7, items 9 and 10, sections 276-437 to 276-443</w:t>
      </w:r>
      <w:r w:rsidRPr="008C026C">
        <w:rPr>
          <w:rStyle w:val="Referencingstyle"/>
        </w:rPr>
        <w:t>]</w:t>
      </w:r>
    </w:p>
    <w:p w14:paraId="7C4ED069" w14:textId="77777777" w:rsidR="00585007" w:rsidRDefault="00096F05" w:rsidP="00096F05">
      <w:pPr>
        <w:pStyle w:val="base-text-paragraph"/>
        <w:numPr>
          <w:ilvl w:val="1"/>
          <w:numId w:val="7"/>
        </w:numPr>
      </w:pPr>
      <w:r w:rsidRPr="00BF3D02">
        <w:t>An amount of non</w:t>
      </w:r>
      <w:r w:rsidRPr="00BF3D02">
        <w:noBreakHyphen/>
        <w:t>arm’s length income is, broadly, an amount that is derived from a scheme where</w:t>
      </w:r>
      <w:r w:rsidR="00585007">
        <w:t>:</w:t>
      </w:r>
    </w:p>
    <w:p w14:paraId="321D417E" w14:textId="22EA0070" w:rsidR="00585007" w:rsidRDefault="00096F05" w:rsidP="00585007">
      <w:pPr>
        <w:pStyle w:val="dotpoint"/>
      </w:pPr>
      <w:r w:rsidRPr="00BF3D02">
        <w:t>the parties were not dealing with each other at arm’s le</w:t>
      </w:r>
      <w:r w:rsidR="00585007">
        <w:t>ngth in relation to the scheme; and</w:t>
      </w:r>
    </w:p>
    <w:p w14:paraId="175B416F" w14:textId="707D2037" w:rsidR="00585007" w:rsidRDefault="00585007" w:rsidP="00585007">
      <w:pPr>
        <w:pStyle w:val="dotpoint"/>
      </w:pPr>
      <w:proofErr w:type="gramStart"/>
      <w:r w:rsidRPr="00BF3D02">
        <w:t>the</w:t>
      </w:r>
      <w:proofErr w:type="gramEnd"/>
      <w:r w:rsidRPr="00BF3D02">
        <w:t xml:space="preserve"> amount exceeds the amount that the entity might have been expected to derive if the parties had been dealing with each other at arm’s length</w:t>
      </w:r>
      <w:r>
        <w:t>.</w:t>
      </w:r>
    </w:p>
    <w:p w14:paraId="01B34B3B" w14:textId="5659CE8E" w:rsidR="00585007" w:rsidRPr="00585007" w:rsidRDefault="00585007" w:rsidP="00585007">
      <w:pPr>
        <w:pStyle w:val="base-text-paragraphnonumbers"/>
        <w:rPr>
          <w:rStyle w:val="Referencingstyle"/>
        </w:rPr>
      </w:pPr>
      <w:r>
        <w:rPr>
          <w:rStyle w:val="Referencingstyle"/>
        </w:rPr>
        <w:lastRenderedPageBreak/>
        <w:t>[Schedule 7, item 10</w:t>
      </w:r>
      <w:r w:rsidRPr="008C026C">
        <w:rPr>
          <w:rStyle w:val="Referencingstyle"/>
        </w:rPr>
        <w:t xml:space="preserve">, </w:t>
      </w:r>
      <w:proofErr w:type="gramStart"/>
      <w:r w:rsidRPr="008C026C">
        <w:rPr>
          <w:rStyle w:val="Referencingstyle"/>
        </w:rPr>
        <w:t>section</w:t>
      </w:r>
      <w:proofErr w:type="gramEnd"/>
      <w:r w:rsidRPr="008C026C">
        <w:rPr>
          <w:rStyle w:val="Referencingstyle"/>
        </w:rPr>
        <w:t xml:space="preserve"> 276-441]</w:t>
      </w:r>
    </w:p>
    <w:p w14:paraId="03ABCDB4" w14:textId="3E400F3D" w:rsidR="00096F05" w:rsidRDefault="00096F05" w:rsidP="00096F05">
      <w:pPr>
        <w:pStyle w:val="base-text-paragraph"/>
        <w:numPr>
          <w:ilvl w:val="1"/>
          <w:numId w:val="7"/>
        </w:numPr>
      </w:pPr>
      <w:r w:rsidRPr="00BF3D02">
        <w:t>As a consequence of inserting the separate arm’s length income rule that applies to AIVs</w:t>
      </w:r>
      <w:r>
        <w:t xml:space="preserve"> (including both ASFs of a CCIV and AMITs)</w:t>
      </w:r>
      <w:r w:rsidRPr="00BF3D02">
        <w:t xml:space="preserve">, other amendments ensure that the current arm’s length income rules apply </w:t>
      </w:r>
      <w:r w:rsidR="00D91111" w:rsidRPr="00BF3D02">
        <w:t xml:space="preserve">only </w:t>
      </w:r>
      <w:r w:rsidRPr="00BF3D02">
        <w:t xml:space="preserve">to MITs. </w:t>
      </w:r>
      <w:r>
        <w:rPr>
          <w:rStyle w:val="Referencingstyle"/>
        </w:rPr>
        <w:t>[Schedule 7, items 1</w:t>
      </w:r>
      <w:r w:rsidRPr="008C026C">
        <w:rPr>
          <w:rStyle w:val="Referencingstyle"/>
        </w:rPr>
        <w:t xml:space="preserve"> t</w:t>
      </w:r>
      <w:r>
        <w:rPr>
          <w:rStyle w:val="Referencingstyle"/>
        </w:rPr>
        <w:t>o 8</w:t>
      </w:r>
      <w:r w:rsidRPr="008C026C">
        <w:rPr>
          <w:rStyle w:val="Referencingstyle"/>
        </w:rPr>
        <w:t>, sections 275-600 to</w:t>
      </w:r>
      <w:r>
        <w:rPr>
          <w:rStyle w:val="Referencingstyle"/>
        </w:rPr>
        <w:t> </w:t>
      </w:r>
      <w:r w:rsidRPr="008C026C">
        <w:rPr>
          <w:rStyle w:val="Referencingstyle"/>
        </w:rPr>
        <w:t>275</w:t>
      </w:r>
      <w:r>
        <w:rPr>
          <w:rStyle w:val="Referencingstyle"/>
        </w:rPr>
        <w:noBreakHyphen/>
      </w:r>
      <w:r w:rsidRPr="008C026C">
        <w:rPr>
          <w:rStyle w:val="Referencingstyle"/>
        </w:rPr>
        <w:t>615]</w:t>
      </w:r>
      <w:r w:rsidRPr="00BF3D02">
        <w:t xml:space="preserve"> </w:t>
      </w:r>
    </w:p>
    <w:p w14:paraId="27C44D83" w14:textId="0B7C782B" w:rsidR="00585007" w:rsidRPr="00D14B25" w:rsidRDefault="00585007" w:rsidP="00585007">
      <w:pPr>
        <w:pStyle w:val="base-text-paragraph"/>
        <w:numPr>
          <w:ilvl w:val="1"/>
          <w:numId w:val="44"/>
        </w:numPr>
        <w:rPr>
          <w:rStyle w:val="Referencingstyle"/>
          <w:b w:val="0"/>
          <w:i w:val="0"/>
          <w:sz w:val="22"/>
        </w:rPr>
      </w:pPr>
      <w:r>
        <w:t xml:space="preserve">As a result, consequential amendments are made to the modification for the non-arm’s length income rule in the </w:t>
      </w:r>
      <w:r w:rsidRPr="009D758D">
        <w:rPr>
          <w:i/>
        </w:rPr>
        <w:t>Income Tax (Tr</w:t>
      </w:r>
      <w:r>
        <w:rPr>
          <w:i/>
        </w:rPr>
        <w:t xml:space="preserve">ansitional Provisions) Act 1997. </w:t>
      </w:r>
      <w:r w:rsidRPr="00BF3D02">
        <w:rPr>
          <w:rStyle w:val="Referencingstyle"/>
        </w:rPr>
        <w:t>[</w:t>
      </w:r>
      <w:r>
        <w:rPr>
          <w:rStyle w:val="Referencingstyle"/>
        </w:rPr>
        <w:t>Schedule 10, item 2, subsection 275</w:t>
      </w:r>
      <w:r>
        <w:rPr>
          <w:rStyle w:val="Referencingstyle"/>
        </w:rPr>
        <w:noBreakHyphen/>
        <w:t>605(2) of the Income Tax (Transitional Provisions) Act 1997</w:t>
      </w:r>
      <w:r w:rsidRPr="00BF3D02">
        <w:rPr>
          <w:rStyle w:val="Referencingstyle"/>
        </w:rPr>
        <w:t>]</w:t>
      </w:r>
    </w:p>
    <w:p w14:paraId="4ED36F2B" w14:textId="1A584899" w:rsidR="00C119C5" w:rsidRPr="00C119C5" w:rsidRDefault="00C119C5" w:rsidP="00C119C5">
      <w:pPr>
        <w:pStyle w:val="Heading4"/>
      </w:pPr>
      <w:r w:rsidRPr="00C119C5">
        <w:t>Taxable income of an excluded sub-fund</w:t>
      </w:r>
    </w:p>
    <w:p w14:paraId="181E0C44" w14:textId="22BCF2A6" w:rsidR="00C119C5" w:rsidRPr="00C119C5" w:rsidRDefault="00CC593E" w:rsidP="00CC593E">
      <w:pPr>
        <w:pStyle w:val="base-text-paragraph"/>
        <w:numPr>
          <w:ilvl w:val="1"/>
          <w:numId w:val="7"/>
        </w:numPr>
      </w:pPr>
      <w:r w:rsidRPr="00C119C5">
        <w:t>As the attribution regime does not apply to an excluded sub</w:t>
      </w:r>
      <w:r w:rsidRPr="00C119C5">
        <w:noBreakHyphen/>
        <w:t xml:space="preserve">fund, </w:t>
      </w:r>
      <w:r w:rsidR="00C119C5" w:rsidRPr="00C119C5">
        <w:t xml:space="preserve">a CCIV will be liable to tax on the taxable income of </w:t>
      </w:r>
      <w:r w:rsidR="003D141A" w:rsidRPr="00C119C5">
        <w:t>an</w:t>
      </w:r>
      <w:r w:rsidR="00C119C5" w:rsidRPr="00C119C5">
        <w:t xml:space="preserve"> excluded sub</w:t>
      </w:r>
      <w:r w:rsidR="00C119C5" w:rsidRPr="00C119C5">
        <w:noBreakHyphen/>
        <w:t xml:space="preserve">fund. </w:t>
      </w:r>
    </w:p>
    <w:p w14:paraId="57FE6D94" w14:textId="03F583B7" w:rsidR="00CC593E" w:rsidRPr="00C119C5" w:rsidRDefault="00C119C5" w:rsidP="00CC593E">
      <w:pPr>
        <w:pStyle w:val="base-text-paragraph"/>
        <w:numPr>
          <w:ilvl w:val="1"/>
          <w:numId w:val="7"/>
        </w:numPr>
      </w:pPr>
      <w:r w:rsidRPr="00C119C5">
        <w:t>I</w:t>
      </w:r>
      <w:r w:rsidR="00CC593E" w:rsidRPr="00C119C5">
        <w:t xml:space="preserve">ncome tax is imposed on the taxable income of an excluded sub-fund for an income year at the top corporate rate (30 per cent) </w:t>
      </w:r>
      <w:r w:rsidR="003D141A">
        <w:rPr>
          <w:rStyle w:val="Referencingstyle"/>
        </w:rPr>
        <w:t>[Schedule 9, items 24</w:t>
      </w:r>
      <w:r w:rsidR="00CC593E" w:rsidRPr="00C119C5">
        <w:rPr>
          <w:rStyle w:val="Referencingstyle"/>
        </w:rPr>
        <w:t xml:space="preserve"> an</w:t>
      </w:r>
      <w:r w:rsidR="003D141A">
        <w:rPr>
          <w:rStyle w:val="Referencingstyle"/>
        </w:rPr>
        <w:t>d 25</w:t>
      </w:r>
      <w:r w:rsidR="00CC593E" w:rsidRPr="00C119C5">
        <w:rPr>
          <w:rStyle w:val="Referencingstyle"/>
        </w:rPr>
        <w:t>, subsections 23(2) and (</w:t>
      </w:r>
      <w:r w:rsidRPr="00C119C5">
        <w:rPr>
          <w:rStyle w:val="Referencingstyle"/>
        </w:rPr>
        <w:t>5A) of the Income Tax Rates Act </w:t>
      </w:r>
      <w:r w:rsidR="00CC593E" w:rsidRPr="00C119C5">
        <w:rPr>
          <w:rStyle w:val="Referencingstyle"/>
        </w:rPr>
        <w:t>1986]</w:t>
      </w:r>
    </w:p>
    <w:p w14:paraId="5561EE8B" w14:textId="57CEE90B" w:rsidR="0016134B" w:rsidRPr="00784576" w:rsidRDefault="007A54EC" w:rsidP="0016134B">
      <w:pPr>
        <w:pStyle w:val="Heading3"/>
      </w:pPr>
      <w:r>
        <w:t xml:space="preserve">AMITs restructuring as </w:t>
      </w:r>
      <w:r w:rsidR="003C5AFE">
        <w:t>ASFs</w:t>
      </w:r>
    </w:p>
    <w:p w14:paraId="3C032382" w14:textId="2E19215E" w:rsidR="00744FCC" w:rsidRDefault="00D70274" w:rsidP="00921706">
      <w:pPr>
        <w:pStyle w:val="base-text-paragraph"/>
      </w:pPr>
      <w:r>
        <w:t xml:space="preserve">Schedule 6 </w:t>
      </w:r>
      <w:r w:rsidR="00593520">
        <w:t>to</w:t>
      </w:r>
      <w:r>
        <w:t xml:space="preserve"> the </w:t>
      </w:r>
      <w:r w:rsidR="006A0FA6">
        <w:t>Exposure Draft</w:t>
      </w:r>
      <w:r>
        <w:t xml:space="preserve"> </w:t>
      </w:r>
      <w:r w:rsidRPr="00C42F91">
        <w:t>Bill</w:t>
      </w:r>
      <w:r w:rsidR="006A0FA6">
        <w:t xml:space="preserve"> inserts </w:t>
      </w:r>
      <w:r w:rsidR="00744FCC">
        <w:t>S</w:t>
      </w:r>
      <w:r w:rsidR="00921706" w:rsidRPr="00744FCC">
        <w:t>ubdivision 276-I</w:t>
      </w:r>
      <w:r w:rsidR="006A0FA6">
        <w:t>, which</w:t>
      </w:r>
      <w:r w:rsidR="00921706" w:rsidRPr="00744FCC">
        <w:t xml:space="preserve"> appl</w:t>
      </w:r>
      <w:r w:rsidR="00744FCC">
        <w:t>ies</w:t>
      </w:r>
      <w:r w:rsidR="00921706" w:rsidRPr="00744FCC">
        <w:t xml:space="preserve"> to an AMIT that restructures as an ASF of a CCIV. The AMIT and the CCIV must choose to apply the </w:t>
      </w:r>
      <w:r w:rsidR="00744FCC">
        <w:t>S</w:t>
      </w:r>
      <w:r w:rsidR="00921706" w:rsidRPr="00744FCC">
        <w:t xml:space="preserve">ubdivision to the restructure and ensure that </w:t>
      </w:r>
      <w:r w:rsidR="00102388">
        <w:t>the</w:t>
      </w:r>
      <w:r w:rsidR="00921706" w:rsidRPr="00744FCC">
        <w:t xml:space="preserve"> other requirements are satisfied</w:t>
      </w:r>
      <w:r w:rsidR="00744FCC" w:rsidRPr="00744FCC">
        <w:t>.</w:t>
      </w:r>
    </w:p>
    <w:p w14:paraId="6F7496A4" w14:textId="236BB6C5" w:rsidR="00921706" w:rsidRPr="00744FCC" w:rsidRDefault="00A228E3" w:rsidP="00921706">
      <w:pPr>
        <w:pStyle w:val="base-text-paragraph"/>
      </w:pPr>
      <w:r w:rsidRPr="00744FCC">
        <w:t>Given the specific restructuring provisions</w:t>
      </w:r>
      <w:r w:rsidR="00D57A48" w:rsidRPr="00744FCC">
        <w:t xml:space="preserve"> provided</w:t>
      </w:r>
      <w:r w:rsidRPr="00744FCC">
        <w:t xml:space="preserve"> under </w:t>
      </w:r>
      <w:r w:rsidR="00744FCC">
        <w:t>S</w:t>
      </w:r>
      <w:r w:rsidRPr="00744FCC">
        <w:t xml:space="preserve">ubdivision 276-I, a roll-over under </w:t>
      </w:r>
      <w:r w:rsidR="00744FCC">
        <w:t>S</w:t>
      </w:r>
      <w:r w:rsidRPr="00744FCC">
        <w:t xml:space="preserve">ubdivision 124-N is not available to AMITs that restructure into an ASF of a CCIV. </w:t>
      </w:r>
      <w:r w:rsidRPr="00B86190">
        <w:rPr>
          <w:i/>
        </w:rPr>
        <w:t>[</w:t>
      </w:r>
      <w:r w:rsidR="00D7777B">
        <w:rPr>
          <w:rStyle w:val="Referencingstyle"/>
        </w:rPr>
        <w:t>Schedule 6, item 11</w:t>
      </w:r>
      <w:r w:rsidR="00744FCC">
        <w:rPr>
          <w:rStyle w:val="Referencingstyle"/>
        </w:rPr>
        <w:t>, subsection </w:t>
      </w:r>
      <w:r w:rsidRPr="00744FCC">
        <w:rPr>
          <w:rStyle w:val="Referencingstyle"/>
        </w:rPr>
        <w:t>124-855(3)]</w:t>
      </w:r>
    </w:p>
    <w:p w14:paraId="3D1157E8" w14:textId="5B54F5BE" w:rsidR="00B85B97" w:rsidRDefault="002D44D3" w:rsidP="002D44D3">
      <w:pPr>
        <w:pStyle w:val="base-text-paragraph"/>
        <w:numPr>
          <w:ilvl w:val="1"/>
          <w:numId w:val="44"/>
        </w:numPr>
      </w:pPr>
      <w:r>
        <w:t xml:space="preserve">Broadly, the </w:t>
      </w:r>
      <w:r w:rsidR="00744FCC" w:rsidRPr="00744FCC">
        <w:t xml:space="preserve">restructuring relief </w:t>
      </w:r>
      <w:r w:rsidR="00B85B97">
        <w:t>relate</w:t>
      </w:r>
      <w:r w:rsidR="00744FCC">
        <w:t>s</w:t>
      </w:r>
      <w:r w:rsidR="00B85B97">
        <w:t xml:space="preserve"> to: </w:t>
      </w:r>
    </w:p>
    <w:p w14:paraId="3D0D53A4" w14:textId="1412E50A" w:rsidR="004A0EC0" w:rsidRDefault="002D44D3" w:rsidP="00B85B97">
      <w:pPr>
        <w:pStyle w:val="dotpoint"/>
      </w:pPr>
      <w:r w:rsidRPr="002D44D3">
        <w:t xml:space="preserve">roll-over for CGT assets </w:t>
      </w:r>
      <w:r w:rsidR="004A0EC0">
        <w:t xml:space="preserve">and revenue assets </w:t>
      </w:r>
      <w:r w:rsidR="0045549D">
        <w:t xml:space="preserve">for </w:t>
      </w:r>
      <w:r w:rsidRPr="002D44D3">
        <w:t>the AMIT</w:t>
      </w:r>
      <w:r w:rsidR="0045549D">
        <w:t>;</w:t>
      </w:r>
    </w:p>
    <w:p w14:paraId="63845266" w14:textId="42B627F6" w:rsidR="00D01989" w:rsidRDefault="004A0EC0" w:rsidP="00B85B97">
      <w:pPr>
        <w:pStyle w:val="dotpoint"/>
      </w:pPr>
      <w:r>
        <w:t xml:space="preserve">CGT roll-over relief for </w:t>
      </w:r>
      <w:r w:rsidR="002D44D3" w:rsidRPr="002D44D3">
        <w:t xml:space="preserve">the owner of </w:t>
      </w:r>
      <w:r w:rsidR="00744FCC">
        <w:t>membership</w:t>
      </w:r>
      <w:r w:rsidR="00D01989">
        <w:t xml:space="preserve"> interests in the AMIT</w:t>
      </w:r>
      <w:r w:rsidR="00B85B97">
        <w:t>;</w:t>
      </w:r>
    </w:p>
    <w:p w14:paraId="7E96DE9D" w14:textId="6127E1AE" w:rsidR="00B85B97" w:rsidRDefault="00B85B97" w:rsidP="00B85B97">
      <w:pPr>
        <w:pStyle w:val="dotpoint"/>
      </w:pPr>
      <w:r>
        <w:t>transferring</w:t>
      </w:r>
      <w:r w:rsidR="00470700">
        <w:t xml:space="preserve"> </w:t>
      </w:r>
      <w:r>
        <w:t xml:space="preserve">the AMIT’s net capital losses, tax losses and </w:t>
      </w:r>
      <w:proofErr w:type="spellStart"/>
      <w:r>
        <w:t>unders</w:t>
      </w:r>
      <w:proofErr w:type="spellEnd"/>
      <w:r>
        <w:t xml:space="preserve"> and overs to an </w:t>
      </w:r>
      <w:r w:rsidR="008344DE">
        <w:t>ASF</w:t>
      </w:r>
      <w:r>
        <w:t xml:space="preserve"> of a CCIV; and</w:t>
      </w:r>
    </w:p>
    <w:p w14:paraId="147AF113" w14:textId="102B2578" w:rsidR="00D01989" w:rsidRDefault="00B85B97" w:rsidP="00D01989">
      <w:pPr>
        <w:pStyle w:val="dotpoint"/>
      </w:pPr>
      <w:proofErr w:type="gramStart"/>
      <w:r>
        <w:t>carry</w:t>
      </w:r>
      <w:r w:rsidR="00470700">
        <w:t>ing</w:t>
      </w:r>
      <w:proofErr w:type="gramEnd"/>
      <w:r>
        <w:t xml:space="preserve"> over</w:t>
      </w:r>
      <w:r w:rsidR="00D01989">
        <w:t xml:space="preserve"> </w:t>
      </w:r>
      <w:r w:rsidR="00470700">
        <w:t xml:space="preserve">the </w:t>
      </w:r>
      <w:r w:rsidR="00D01989">
        <w:t>choices and elections</w:t>
      </w:r>
      <w:r w:rsidR="00CB4EB9">
        <w:t xml:space="preserve"> of the AMIT</w:t>
      </w:r>
      <w:r w:rsidR="00D01989">
        <w:t xml:space="preserve"> to the </w:t>
      </w:r>
      <w:r w:rsidR="008344DE">
        <w:t>ASF</w:t>
      </w:r>
      <w:r w:rsidR="00CB4EB9">
        <w:t xml:space="preserve"> of a CCIV</w:t>
      </w:r>
      <w:r w:rsidR="00D01989">
        <w:t>.</w:t>
      </w:r>
    </w:p>
    <w:p w14:paraId="29548B14" w14:textId="08DA14E5" w:rsidR="00D01989" w:rsidRDefault="00D01989" w:rsidP="00D90C81">
      <w:pPr>
        <w:pStyle w:val="Heading4"/>
      </w:pPr>
      <w:r>
        <w:t xml:space="preserve">Requirements </w:t>
      </w:r>
      <w:r w:rsidR="00744FCC">
        <w:t xml:space="preserve">to qualify </w:t>
      </w:r>
      <w:r w:rsidR="00F4114B">
        <w:t xml:space="preserve">for </w:t>
      </w:r>
      <w:r w:rsidR="00744FCC" w:rsidRPr="00744FCC">
        <w:t>restructuring relief</w:t>
      </w:r>
    </w:p>
    <w:p w14:paraId="4700661E" w14:textId="41C84FB8" w:rsidR="00D01989" w:rsidRDefault="00D01989" w:rsidP="00D01989">
      <w:pPr>
        <w:pStyle w:val="base-text-paragraph"/>
        <w:numPr>
          <w:ilvl w:val="1"/>
          <w:numId w:val="44"/>
        </w:numPr>
      </w:pPr>
      <w:r>
        <w:t xml:space="preserve">The </w:t>
      </w:r>
      <w:r w:rsidR="00744FCC" w:rsidRPr="00744FCC">
        <w:t xml:space="preserve">restructuring relief </w:t>
      </w:r>
      <w:r w:rsidR="00B72D68">
        <w:t xml:space="preserve">will </w:t>
      </w:r>
      <w:r>
        <w:t xml:space="preserve">apply </w:t>
      </w:r>
      <w:r w:rsidR="00B72D68">
        <w:t xml:space="preserve">only </w:t>
      </w:r>
      <w:r w:rsidR="00BC1677">
        <w:t>where the restructure is on a</w:t>
      </w:r>
      <w:r>
        <w:t xml:space="preserve"> ‘like for like’ basis</w:t>
      </w:r>
      <w:r w:rsidR="00744FCC">
        <w:t xml:space="preserve">. Therefore, to qualify for </w:t>
      </w:r>
      <w:r w:rsidR="00744FCC" w:rsidRPr="00744FCC">
        <w:t>restructuring relief</w:t>
      </w:r>
      <w:r w:rsidR="00A83C83">
        <w:t>,</w:t>
      </w:r>
      <w:r>
        <w:t xml:space="preserve"> </w:t>
      </w:r>
      <w:r w:rsidR="007708E0">
        <w:lastRenderedPageBreak/>
        <w:t xml:space="preserve">shares in the </w:t>
      </w:r>
      <w:r>
        <w:t>CCIV</w:t>
      </w:r>
      <w:r w:rsidR="005709A7">
        <w:t xml:space="preserve"> referrable to the </w:t>
      </w:r>
      <w:r w:rsidR="00A83C83">
        <w:t>ASF</w:t>
      </w:r>
      <w:r>
        <w:t xml:space="preserve"> must be issued to members in proportion to their holdings of the </w:t>
      </w:r>
      <w:r w:rsidR="00744FCC">
        <w:t>units in the AMIT.</w:t>
      </w:r>
    </w:p>
    <w:p w14:paraId="755A62C3" w14:textId="35CE0D1C" w:rsidR="00D01989" w:rsidRDefault="00D01989" w:rsidP="00744FCC">
      <w:pPr>
        <w:pStyle w:val="base-text-paragraph"/>
        <w:numPr>
          <w:ilvl w:val="1"/>
          <w:numId w:val="44"/>
        </w:numPr>
      </w:pPr>
      <w:r>
        <w:t xml:space="preserve">In general terms, the </w:t>
      </w:r>
      <w:r w:rsidR="00744FCC" w:rsidRPr="00744FCC">
        <w:t xml:space="preserve">restructuring relief </w:t>
      </w:r>
      <w:r>
        <w:t xml:space="preserve">will </w:t>
      </w:r>
      <w:r w:rsidR="00744FCC">
        <w:t xml:space="preserve">be available </w:t>
      </w:r>
      <w:r w:rsidR="000F6C96">
        <w:t xml:space="preserve">in relation to an ASF </w:t>
      </w:r>
      <w:r>
        <w:t>wher</w:t>
      </w:r>
      <w:r w:rsidRPr="00C66341">
        <w:t xml:space="preserve">e: </w:t>
      </w:r>
    </w:p>
    <w:p w14:paraId="278BD930" w14:textId="40110B56" w:rsidR="00D01989" w:rsidRDefault="00280AC7" w:rsidP="00D01989">
      <w:pPr>
        <w:pStyle w:val="dotpoint"/>
      </w:pPr>
      <w:r>
        <w:t xml:space="preserve">under the restructure, </w:t>
      </w:r>
      <w:r w:rsidR="00D01989">
        <w:t xml:space="preserve">an </w:t>
      </w:r>
      <w:r w:rsidR="007708E0">
        <w:t xml:space="preserve">AMIT disposes of all of its </w:t>
      </w:r>
      <w:r w:rsidR="00D01989">
        <w:t xml:space="preserve">assets to </w:t>
      </w:r>
      <w:r w:rsidR="007708E0">
        <w:t xml:space="preserve">the </w:t>
      </w:r>
      <w:r>
        <w:t>CCIV;</w:t>
      </w:r>
    </w:p>
    <w:p w14:paraId="77F377D1" w14:textId="0E6EBC42" w:rsidR="00280AC7" w:rsidRDefault="00280AC7" w:rsidP="00280AC7">
      <w:pPr>
        <w:pStyle w:val="dotpoint"/>
      </w:pPr>
      <w:r>
        <w:t xml:space="preserve">both the AMIT and operator of the CCIV choose to apply the subdivision to the restructure; </w:t>
      </w:r>
    </w:p>
    <w:p w14:paraId="4B797AF4" w14:textId="2B29CE1B" w:rsidR="00280AC7" w:rsidRDefault="00280AC7" w:rsidP="00280AC7">
      <w:pPr>
        <w:pStyle w:val="dotpoint"/>
      </w:pPr>
      <w:r>
        <w:t>the AMIT’s assets and liabilities meets certain requirements in relation to the ASF;</w:t>
      </w:r>
    </w:p>
    <w:p w14:paraId="1BB92937" w14:textId="2C0F9D95" w:rsidR="00280AC7" w:rsidRDefault="00280AC7" w:rsidP="00280AC7">
      <w:pPr>
        <w:pStyle w:val="dotpoint"/>
      </w:pPr>
      <w:r>
        <w:t>the CCIV meets certain requirements</w:t>
      </w:r>
      <w:r w:rsidR="00727177">
        <w:t xml:space="preserve"> in relation to the ASF</w:t>
      </w:r>
      <w:r>
        <w:t xml:space="preserve">; and </w:t>
      </w:r>
    </w:p>
    <w:p w14:paraId="1C322A6B" w14:textId="164FF548" w:rsidR="00D01989" w:rsidRDefault="00D01989" w:rsidP="00D01989">
      <w:pPr>
        <w:pStyle w:val="dotpoint"/>
      </w:pPr>
      <w:proofErr w:type="gramStart"/>
      <w:r>
        <w:t>all</w:t>
      </w:r>
      <w:proofErr w:type="gramEnd"/>
      <w:r>
        <w:t xml:space="preserve"> interests in the AMIT are exchanged for </w:t>
      </w:r>
      <w:r w:rsidR="00280AC7">
        <w:t>shares</w:t>
      </w:r>
      <w:r>
        <w:t xml:space="preserve"> </w:t>
      </w:r>
      <w:r w:rsidR="0067029F">
        <w:t xml:space="preserve">in the CCIV that are referable to the </w:t>
      </w:r>
      <w:r w:rsidR="0003179A">
        <w:t>ASF</w:t>
      </w:r>
      <w:r>
        <w:t xml:space="preserve"> in equivalent p</w:t>
      </w:r>
      <w:r w:rsidR="00280AC7">
        <w:t>roportions.</w:t>
      </w:r>
    </w:p>
    <w:p w14:paraId="494C3AE8" w14:textId="747534F0" w:rsidR="00280AC7" w:rsidRDefault="00280AC7" w:rsidP="00A10519">
      <w:pPr>
        <w:pStyle w:val="base-text-paragraphnonumbers"/>
      </w:pPr>
      <w:r>
        <w:rPr>
          <w:rStyle w:val="Referencingstyle"/>
        </w:rPr>
        <w:t xml:space="preserve">[Schedule </w:t>
      </w:r>
      <w:r w:rsidR="00C1766D">
        <w:rPr>
          <w:rStyle w:val="Referencingstyle"/>
        </w:rPr>
        <w:t>6</w:t>
      </w:r>
      <w:r>
        <w:rPr>
          <w:rStyle w:val="Referencingstyle"/>
        </w:rPr>
        <w:t xml:space="preserve">, item </w:t>
      </w:r>
      <w:r w:rsidR="00E44A30">
        <w:rPr>
          <w:rStyle w:val="Referencingstyle"/>
        </w:rPr>
        <w:t>14</w:t>
      </w:r>
      <w:r>
        <w:rPr>
          <w:rStyle w:val="Referencingstyle"/>
        </w:rPr>
        <w:t xml:space="preserve">, </w:t>
      </w:r>
      <w:proofErr w:type="gramStart"/>
      <w:r>
        <w:rPr>
          <w:rStyle w:val="Referencingstyle"/>
        </w:rPr>
        <w:t>section</w:t>
      </w:r>
      <w:proofErr w:type="gramEnd"/>
      <w:r>
        <w:rPr>
          <w:rStyle w:val="Referencingstyle"/>
        </w:rPr>
        <w:t xml:space="preserve"> 276-472</w:t>
      </w:r>
      <w:r w:rsidRPr="00BF3D02">
        <w:rPr>
          <w:rStyle w:val="Referencingstyle"/>
        </w:rPr>
        <w:t>]</w:t>
      </w:r>
    </w:p>
    <w:p w14:paraId="2952A512" w14:textId="465D3550" w:rsidR="00744FCC" w:rsidRDefault="00744FCC" w:rsidP="00C2711F">
      <w:pPr>
        <w:pStyle w:val="base-text-paragraph"/>
      </w:pPr>
      <w:r>
        <w:t>As all interests in the AMIT must be exchanged for interests in the CCIV in equivalent proportions, Subdivision 276-I</w:t>
      </w:r>
      <w:r w:rsidDel="00744FCC">
        <w:t xml:space="preserve"> </w:t>
      </w:r>
      <w:r>
        <w:t>does not permit the combining of different pools of assets from multiple AMITs into one ASF.</w:t>
      </w:r>
    </w:p>
    <w:p w14:paraId="67CD0EC0" w14:textId="77777777" w:rsidR="00513A67" w:rsidRPr="00FC23FB" w:rsidRDefault="00513A67" w:rsidP="00513A67">
      <w:pPr>
        <w:pStyle w:val="Heading5"/>
      </w:pPr>
      <w:r>
        <w:t>Choosing the roll-over</w:t>
      </w:r>
    </w:p>
    <w:p w14:paraId="40BBDB0E" w14:textId="57A91CB5" w:rsidR="00513A67" w:rsidRPr="00FA1254" w:rsidRDefault="00513A67" w:rsidP="00513A67">
      <w:pPr>
        <w:pStyle w:val="base-text-paragraph"/>
        <w:numPr>
          <w:ilvl w:val="1"/>
          <w:numId w:val="44"/>
        </w:numPr>
      </w:pPr>
      <w:r>
        <w:t xml:space="preserve">The </w:t>
      </w:r>
      <w:r w:rsidR="00483432" w:rsidRPr="00744FCC">
        <w:t>restructuring relief</w:t>
      </w:r>
      <w:r>
        <w:t xml:space="preserve"> under </w:t>
      </w:r>
      <w:r w:rsidR="00744FCC">
        <w:t>S</w:t>
      </w:r>
      <w:r>
        <w:t xml:space="preserve">ubdivision 276-I </w:t>
      </w:r>
      <w:r w:rsidRPr="00784576">
        <w:t>will</w:t>
      </w:r>
      <w:r>
        <w:t xml:space="preserve"> only be available for the AMIT and the CCIV if both </w:t>
      </w:r>
      <w:r w:rsidR="005C430A">
        <w:t xml:space="preserve">the trustee of the </w:t>
      </w:r>
      <w:r>
        <w:t xml:space="preserve">AMIT and the CCIV </w:t>
      </w:r>
      <w:proofErr w:type="gramStart"/>
      <w:r>
        <w:t>have</w:t>
      </w:r>
      <w:proofErr w:type="gramEnd"/>
      <w:r>
        <w:t xml:space="preserve"> elected to apply the </w:t>
      </w:r>
      <w:r w:rsidR="00A10519">
        <w:t>S</w:t>
      </w:r>
      <w:r>
        <w:t>ubdivision to the restructure. However, to the extent that the AMIT and the CCIV choose to apply the special rules,</w:t>
      </w:r>
      <w:r w:rsidRPr="00784576">
        <w:t xml:space="preserve"> it will be mandatory </w:t>
      </w:r>
      <w:r w:rsidR="00B72D68">
        <w:t>on members</w:t>
      </w:r>
      <w:r>
        <w:t xml:space="preserve"> that own units or interests in the AMIT. </w:t>
      </w:r>
      <w:r w:rsidRPr="00784576">
        <w:t xml:space="preserve">This will </w:t>
      </w:r>
      <w:r w:rsidR="00B72D68">
        <w:t xml:space="preserve">prevent </w:t>
      </w:r>
      <w:r w:rsidRPr="00784576">
        <w:t xml:space="preserve">the selective treatment of </w:t>
      </w:r>
      <w:r w:rsidR="004A0EC0">
        <w:t xml:space="preserve">these </w:t>
      </w:r>
      <w:r>
        <w:t xml:space="preserve">relief provisions </w:t>
      </w:r>
      <w:r w:rsidRPr="00784576">
        <w:t>(</w:t>
      </w:r>
      <w:r w:rsidR="00483432">
        <w:t>such as</w:t>
      </w:r>
      <w:r w:rsidRPr="00784576">
        <w:t xml:space="preserve"> the crystallising of losses and rolling over of gains). </w:t>
      </w:r>
      <w:r w:rsidR="00DF4EA7">
        <w:rPr>
          <w:rStyle w:val="Referencingstyle"/>
        </w:rPr>
        <w:t xml:space="preserve">[Schedule </w:t>
      </w:r>
      <w:r w:rsidR="004E7C8D">
        <w:rPr>
          <w:rStyle w:val="Referencingstyle"/>
        </w:rPr>
        <w:t>6</w:t>
      </w:r>
      <w:r w:rsidR="00DF4EA7">
        <w:rPr>
          <w:rStyle w:val="Referencingstyle"/>
        </w:rPr>
        <w:t>, item</w:t>
      </w:r>
      <w:r>
        <w:rPr>
          <w:rStyle w:val="Referencingstyle"/>
        </w:rPr>
        <w:t> </w:t>
      </w:r>
      <w:r w:rsidR="00E44A30">
        <w:rPr>
          <w:rStyle w:val="Referencingstyle"/>
        </w:rPr>
        <w:t>14</w:t>
      </w:r>
      <w:r w:rsidR="00DF4EA7">
        <w:rPr>
          <w:rStyle w:val="Referencingstyle"/>
        </w:rPr>
        <w:t xml:space="preserve">, paragraph 276-472(1)(b)] </w:t>
      </w:r>
    </w:p>
    <w:p w14:paraId="5FFB59F6" w14:textId="4395DE64" w:rsidR="00D01989" w:rsidRPr="00280AC7" w:rsidRDefault="00B54DF7" w:rsidP="00280AC7">
      <w:pPr>
        <w:pStyle w:val="Heading5"/>
      </w:pPr>
      <w:r>
        <w:t xml:space="preserve">Disposal of </w:t>
      </w:r>
      <w:r w:rsidR="00AA4BB1">
        <w:t xml:space="preserve">AMIT </w:t>
      </w:r>
      <w:r w:rsidR="00AA4BB1" w:rsidRPr="00280AC7">
        <w:t>assets</w:t>
      </w:r>
    </w:p>
    <w:p w14:paraId="2AC75361" w14:textId="2361EFA5" w:rsidR="00B54DF7" w:rsidRDefault="00351F72" w:rsidP="00B54DF7">
      <w:pPr>
        <w:pStyle w:val="base-text-paragraph"/>
        <w:numPr>
          <w:ilvl w:val="1"/>
          <w:numId w:val="44"/>
        </w:numPr>
      </w:pPr>
      <w:r>
        <w:t>All of the</w:t>
      </w:r>
      <w:r w:rsidR="00D01989">
        <w:t xml:space="preserve"> assets of the A</w:t>
      </w:r>
      <w:r w:rsidR="008F185F">
        <w:t xml:space="preserve">MIT must be disposed of to the </w:t>
      </w:r>
      <w:r w:rsidR="00D01989">
        <w:t xml:space="preserve">CCIV during the </w:t>
      </w:r>
      <w:r w:rsidR="00280AC7">
        <w:t>AMIT</w:t>
      </w:r>
      <w:r w:rsidR="00D01989">
        <w:t xml:space="preserve"> rest</w:t>
      </w:r>
      <w:r w:rsidR="00B27C02">
        <w:t>ructuring period</w:t>
      </w:r>
      <w:r w:rsidR="00B54DF7">
        <w:t xml:space="preserve"> and immediately after the disposal, be referable to </w:t>
      </w:r>
      <w:r w:rsidR="00A10519">
        <w:t xml:space="preserve">an </w:t>
      </w:r>
      <w:r w:rsidR="004A0EC0">
        <w:t>ASF</w:t>
      </w:r>
      <w:r w:rsidR="00B54DF7">
        <w:t>.</w:t>
      </w:r>
      <w:r w:rsidR="00B54DF7" w:rsidRPr="00B54DF7">
        <w:t xml:space="preserve"> </w:t>
      </w:r>
      <w:r w:rsidR="00B54DF7">
        <w:t>This allows for a staggered transfer of the assets or a single transfer of all of the assets of the AMIT. However, assets that are specifically retained in the AMIT for the purposes of discharging existing or expected debts of the AMIT can be ignored.</w:t>
      </w:r>
      <w:r w:rsidR="00B54DF7" w:rsidRPr="00B27C02">
        <w:rPr>
          <w:rStyle w:val="Referencingstyle"/>
        </w:rPr>
        <w:t xml:space="preserve"> </w:t>
      </w:r>
      <w:r w:rsidR="00B54DF7">
        <w:rPr>
          <w:rStyle w:val="Referencingstyle"/>
        </w:rPr>
        <w:t xml:space="preserve">[Schedule </w:t>
      </w:r>
      <w:r w:rsidR="004E7C8D">
        <w:rPr>
          <w:rStyle w:val="Referencingstyle"/>
        </w:rPr>
        <w:t>6</w:t>
      </w:r>
      <w:r w:rsidR="00B54DF7">
        <w:rPr>
          <w:rStyle w:val="Referencingstyle"/>
        </w:rPr>
        <w:t xml:space="preserve">, item </w:t>
      </w:r>
      <w:r w:rsidR="00E44A30">
        <w:rPr>
          <w:rStyle w:val="Referencingstyle"/>
        </w:rPr>
        <w:t>14</w:t>
      </w:r>
      <w:r w:rsidR="00B54DF7">
        <w:rPr>
          <w:rStyle w:val="Referencingstyle"/>
        </w:rPr>
        <w:t>, subsection 276-472(2)</w:t>
      </w:r>
      <w:r w:rsidR="00B54DF7" w:rsidRPr="00BF3D02">
        <w:rPr>
          <w:rStyle w:val="Referencingstyle"/>
        </w:rPr>
        <w:t>]</w:t>
      </w:r>
    </w:p>
    <w:p w14:paraId="2DA08000" w14:textId="2D38BC93" w:rsidR="00A10519" w:rsidRPr="00280AC7" w:rsidRDefault="00A10519" w:rsidP="00A10519">
      <w:pPr>
        <w:pStyle w:val="Heading5"/>
      </w:pPr>
      <w:r>
        <w:t>Transfer of AMIT liabilities</w:t>
      </w:r>
    </w:p>
    <w:p w14:paraId="6867D454" w14:textId="3FA5C252" w:rsidR="00AA4BB1" w:rsidRPr="00483432" w:rsidRDefault="00AA4BB1" w:rsidP="00AA4BB1">
      <w:pPr>
        <w:pStyle w:val="base-text-paragraph"/>
      </w:pPr>
      <w:r>
        <w:rPr>
          <w:rStyle w:val="Emphasis"/>
          <w:i w:val="0"/>
        </w:rPr>
        <w:t>All of the liabilities</w:t>
      </w:r>
      <w:r w:rsidRPr="00AA4BB1">
        <w:rPr>
          <w:rStyle w:val="Emphasis"/>
          <w:i w:val="0"/>
        </w:rPr>
        <w:t xml:space="preserve"> of the AMIT must be </w:t>
      </w:r>
      <w:r>
        <w:rPr>
          <w:rStyle w:val="Emphasis"/>
          <w:i w:val="0"/>
        </w:rPr>
        <w:t>transferred</w:t>
      </w:r>
      <w:r w:rsidRPr="00AA4BB1">
        <w:rPr>
          <w:rStyle w:val="Emphasis"/>
          <w:i w:val="0"/>
        </w:rPr>
        <w:t xml:space="preserve"> to the CCIV during the AMIT restructuring period and</w:t>
      </w:r>
      <w:r w:rsidR="00B86190">
        <w:rPr>
          <w:rStyle w:val="Emphasis"/>
          <w:i w:val="0"/>
        </w:rPr>
        <w:t>,</w:t>
      </w:r>
      <w:r w:rsidRPr="00AA4BB1">
        <w:rPr>
          <w:rStyle w:val="Emphasis"/>
          <w:i w:val="0"/>
        </w:rPr>
        <w:t xml:space="preserve"> immediately after the </w:t>
      </w:r>
      <w:r>
        <w:rPr>
          <w:rStyle w:val="Emphasis"/>
          <w:i w:val="0"/>
        </w:rPr>
        <w:t>transfer</w:t>
      </w:r>
      <w:r w:rsidRPr="00AA4BB1">
        <w:rPr>
          <w:rStyle w:val="Emphasis"/>
          <w:i w:val="0"/>
        </w:rPr>
        <w:t xml:space="preserve">, be referable to the </w:t>
      </w:r>
      <w:r w:rsidR="003C5AFE">
        <w:rPr>
          <w:rStyle w:val="Emphasis"/>
          <w:i w:val="0"/>
        </w:rPr>
        <w:t>ASF</w:t>
      </w:r>
      <w:r w:rsidRPr="00AA4BB1">
        <w:rPr>
          <w:rStyle w:val="Emphasis"/>
          <w:i w:val="0"/>
        </w:rPr>
        <w:t>.</w:t>
      </w:r>
      <w:r>
        <w:rPr>
          <w:rStyle w:val="Emphasis"/>
          <w:i w:val="0"/>
        </w:rPr>
        <w:t xml:space="preserve"> </w:t>
      </w:r>
      <w:r>
        <w:t xml:space="preserve">This allows for a staggered transfer of </w:t>
      </w:r>
      <w:r>
        <w:lastRenderedPageBreak/>
        <w:t>liabilities or a single transfer of all of the liabilities of the AMIT. However, liabilities that are to be discharged from the retained assets in the AMIT can be ignored.</w:t>
      </w:r>
      <w:r w:rsidRPr="00AA4BB1">
        <w:rPr>
          <w:rStyle w:val="Referencingstyle"/>
        </w:rPr>
        <w:t xml:space="preserve"> </w:t>
      </w:r>
      <w:r w:rsidR="00CD0B7A">
        <w:rPr>
          <w:rStyle w:val="Referencingstyle"/>
        </w:rPr>
        <w:t xml:space="preserve">[Schedule </w:t>
      </w:r>
      <w:r w:rsidR="00C803EA">
        <w:rPr>
          <w:rStyle w:val="Referencingstyle"/>
        </w:rPr>
        <w:t>6</w:t>
      </w:r>
      <w:r w:rsidR="00CD0B7A">
        <w:rPr>
          <w:rStyle w:val="Referencingstyle"/>
        </w:rPr>
        <w:t xml:space="preserve">, item </w:t>
      </w:r>
      <w:r w:rsidR="00E44A30">
        <w:rPr>
          <w:rStyle w:val="Referencingstyle"/>
        </w:rPr>
        <w:t>14</w:t>
      </w:r>
      <w:r w:rsidR="00CD0B7A">
        <w:rPr>
          <w:rStyle w:val="Referencingstyle"/>
        </w:rPr>
        <w:t>, subsection </w:t>
      </w:r>
      <w:r>
        <w:rPr>
          <w:rStyle w:val="Referencingstyle"/>
        </w:rPr>
        <w:t>276-472(3)</w:t>
      </w:r>
      <w:r w:rsidRPr="00BF3D02">
        <w:rPr>
          <w:rStyle w:val="Referencingstyle"/>
        </w:rPr>
        <w:t>]</w:t>
      </w:r>
    </w:p>
    <w:p w14:paraId="33E8A192" w14:textId="56A904F9" w:rsidR="00D01989" w:rsidRPr="00B2774E" w:rsidRDefault="007B17B1" w:rsidP="004140FF">
      <w:pPr>
        <w:pStyle w:val="Heading5"/>
      </w:pPr>
      <w:r>
        <w:t>The AMIT</w:t>
      </w:r>
      <w:r w:rsidR="00D01989" w:rsidRPr="00B2774E">
        <w:t xml:space="preserve"> restructuring period</w:t>
      </w:r>
    </w:p>
    <w:p w14:paraId="7E8B28AA" w14:textId="528FFC81" w:rsidR="00D01989" w:rsidRDefault="007B17B1" w:rsidP="00D01989">
      <w:pPr>
        <w:pStyle w:val="base-text-paragraph"/>
        <w:numPr>
          <w:ilvl w:val="1"/>
          <w:numId w:val="44"/>
        </w:numPr>
      </w:pPr>
      <w:r>
        <w:t>The AMIT</w:t>
      </w:r>
      <w:r w:rsidR="00D01989">
        <w:t xml:space="preserve"> restructuring period starts just before the fir</w:t>
      </w:r>
      <w:r w:rsidR="00AA4BB1">
        <w:t xml:space="preserve">st asset is disposed of to the </w:t>
      </w:r>
      <w:r w:rsidR="00D01989">
        <w:t>CCIV and ends at the time the last asset is dis</w:t>
      </w:r>
      <w:r w:rsidR="00AA4BB1">
        <w:t xml:space="preserve">posed of under the restructure. </w:t>
      </w:r>
      <w:r w:rsidR="00D01989">
        <w:t>Therefore the assets that must be disposed of are all the assets owned by the AMIT just before the disposal</w:t>
      </w:r>
      <w:r w:rsidR="00AA4BB1">
        <w:t xml:space="preserve"> of the first asset to the CCIV</w:t>
      </w:r>
      <w:r w:rsidR="00D01989">
        <w:t>, including any assets acquired by the AMIT up to and until the last asset is disposed of t</w:t>
      </w:r>
      <w:r w:rsidR="00AA4BB1">
        <w:t xml:space="preserve">o the </w:t>
      </w:r>
      <w:r w:rsidR="00D01989">
        <w:t>CCIV.</w:t>
      </w:r>
      <w:r w:rsidR="00AA4BB1" w:rsidRPr="00AA4BB1">
        <w:rPr>
          <w:rStyle w:val="Referencingstyle"/>
        </w:rPr>
        <w:t xml:space="preserve"> </w:t>
      </w:r>
      <w:r w:rsidR="00AA4BB1">
        <w:rPr>
          <w:rStyle w:val="Referencingstyle"/>
        </w:rPr>
        <w:t>[Sch</w:t>
      </w:r>
      <w:r w:rsidR="00A10519">
        <w:rPr>
          <w:rStyle w:val="Referencingstyle"/>
        </w:rPr>
        <w:t xml:space="preserve">edule </w:t>
      </w:r>
      <w:r w:rsidR="00C803EA">
        <w:rPr>
          <w:rStyle w:val="Referencingstyle"/>
        </w:rPr>
        <w:t>6</w:t>
      </w:r>
      <w:r w:rsidR="00A10519">
        <w:rPr>
          <w:rStyle w:val="Referencingstyle"/>
        </w:rPr>
        <w:t xml:space="preserve">, item </w:t>
      </w:r>
      <w:r w:rsidR="00E44A30">
        <w:rPr>
          <w:rStyle w:val="Referencingstyle"/>
        </w:rPr>
        <w:t>14</w:t>
      </w:r>
      <w:r w:rsidR="00A10519">
        <w:rPr>
          <w:rStyle w:val="Referencingstyle"/>
        </w:rPr>
        <w:t>, subsection 276</w:t>
      </w:r>
      <w:r w:rsidR="00A10519">
        <w:rPr>
          <w:rStyle w:val="Referencingstyle"/>
        </w:rPr>
        <w:noBreakHyphen/>
      </w:r>
      <w:r w:rsidR="00AA4BB1">
        <w:rPr>
          <w:rStyle w:val="Referencingstyle"/>
        </w:rPr>
        <w:t>472(4)</w:t>
      </w:r>
      <w:r w:rsidR="00AA4BB1" w:rsidRPr="00BF3D02">
        <w:rPr>
          <w:rStyle w:val="Referencingstyle"/>
        </w:rPr>
        <w:t>]</w:t>
      </w:r>
    </w:p>
    <w:p w14:paraId="3BA3FEAA" w14:textId="6E1D28CE" w:rsidR="00D01989" w:rsidRPr="00F60C45" w:rsidRDefault="00727177" w:rsidP="004140FF">
      <w:pPr>
        <w:pStyle w:val="Heading5"/>
      </w:pPr>
      <w:r w:rsidRPr="008C052E">
        <w:t xml:space="preserve">Requirements of the </w:t>
      </w:r>
      <w:r w:rsidR="00D01989" w:rsidRPr="008C052E">
        <w:t>CCIV</w:t>
      </w:r>
      <w:r w:rsidRPr="008C052E">
        <w:t xml:space="preserve"> in relation to the ASF</w:t>
      </w:r>
    </w:p>
    <w:p w14:paraId="1D6D91CF" w14:textId="35D9E8AA" w:rsidR="00D01989" w:rsidRDefault="00483432" w:rsidP="00D01989">
      <w:pPr>
        <w:pStyle w:val="base-text-paragraph"/>
        <w:numPr>
          <w:ilvl w:val="1"/>
          <w:numId w:val="44"/>
        </w:numPr>
      </w:pPr>
      <w:r>
        <w:t>Subdivision 276-I</w:t>
      </w:r>
      <w:r w:rsidR="00D01989">
        <w:t xml:space="preserve"> </w:t>
      </w:r>
      <w:r w:rsidR="00E33B0E">
        <w:t xml:space="preserve">contains certain requirements for </w:t>
      </w:r>
      <w:r w:rsidR="00D01989">
        <w:t>the tran</w:t>
      </w:r>
      <w:r w:rsidR="00727177">
        <w:t xml:space="preserve">sferee </w:t>
      </w:r>
      <w:r w:rsidR="008156C3">
        <w:t>ASF of a CCIV, which are consistent with requirements under existing roll-overs (see subsection 124-860(4))</w:t>
      </w:r>
      <w:r w:rsidR="00E33B0E">
        <w:t xml:space="preserve">. </w:t>
      </w:r>
      <w:r w:rsidR="00727177">
        <w:t xml:space="preserve">As a result, </w:t>
      </w:r>
      <w:r w:rsidR="005B11F0">
        <w:t>at the start of the AMIT restructuring period</w:t>
      </w:r>
      <w:r w:rsidR="00D01989">
        <w:t>:</w:t>
      </w:r>
    </w:p>
    <w:p w14:paraId="776B2E7F" w14:textId="77DB4293" w:rsidR="00D01989" w:rsidRDefault="00BB0C16" w:rsidP="00D01989">
      <w:pPr>
        <w:pStyle w:val="dotpoint"/>
      </w:pPr>
      <w:r>
        <w:t>the CCIV</w:t>
      </w:r>
      <w:r w:rsidDel="00C15A9D">
        <w:t xml:space="preserve"> </w:t>
      </w:r>
      <w:r>
        <w:t>must have</w:t>
      </w:r>
      <w:r w:rsidR="00D01989">
        <w:t xml:space="preserve"> no assets </w:t>
      </w:r>
      <w:r w:rsidR="00C15A9D">
        <w:t xml:space="preserve">that are referable to the ASF </w:t>
      </w:r>
      <w:r w:rsidR="00D01989">
        <w:t>other than small amounts of cash</w:t>
      </w:r>
      <w:r w:rsidR="00BF7A01">
        <w:t xml:space="preserve"> or debt</w:t>
      </w:r>
      <w:r w:rsidR="00D01989">
        <w:t xml:space="preserve">, or rights under an arrangement that only facilitates the transfer of assets to the </w:t>
      </w:r>
      <w:r w:rsidR="00BF7A01">
        <w:t xml:space="preserve">CCIV </w:t>
      </w:r>
      <w:r w:rsidR="00D01989">
        <w:t>from the AMIT; and</w:t>
      </w:r>
    </w:p>
    <w:p w14:paraId="65E3C53B" w14:textId="7C61296D" w:rsidR="00D01989" w:rsidRDefault="00BB0C16" w:rsidP="00D01989">
      <w:pPr>
        <w:pStyle w:val="dotpoint"/>
      </w:pPr>
      <w:proofErr w:type="gramStart"/>
      <w:r>
        <w:t>the</w:t>
      </w:r>
      <w:proofErr w:type="gramEnd"/>
      <w:r>
        <w:t xml:space="preserve"> CCIV</w:t>
      </w:r>
      <w:r w:rsidDel="00C15A9D">
        <w:t xml:space="preserve"> </w:t>
      </w:r>
      <w:r>
        <w:t>must have</w:t>
      </w:r>
      <w:r w:rsidR="005B11F0">
        <w:t xml:space="preserve"> no liabilities that are referable to the ASF</w:t>
      </w:r>
      <w:r w:rsidR="00D01989">
        <w:t>.</w:t>
      </w:r>
    </w:p>
    <w:p w14:paraId="6E125574" w14:textId="3E2118DC" w:rsidR="00D01989" w:rsidRPr="0049282B" w:rsidRDefault="0013540D" w:rsidP="00D01989">
      <w:pPr>
        <w:pStyle w:val="base-text-paragraphnonumbers"/>
        <w:rPr>
          <w:rStyle w:val="Referencingstyle"/>
        </w:rPr>
      </w:pPr>
      <w:r>
        <w:rPr>
          <w:rStyle w:val="Referencingstyle"/>
        </w:rPr>
        <w:t xml:space="preserve">[Schedule </w:t>
      </w:r>
      <w:r w:rsidR="00C15A9D">
        <w:rPr>
          <w:rStyle w:val="Referencingstyle"/>
        </w:rPr>
        <w:t>6</w:t>
      </w:r>
      <w:r>
        <w:rPr>
          <w:rStyle w:val="Referencingstyle"/>
        </w:rPr>
        <w:t xml:space="preserve">, item </w:t>
      </w:r>
      <w:r w:rsidR="00E44A30">
        <w:rPr>
          <w:rStyle w:val="Referencingstyle"/>
        </w:rPr>
        <w:t>14</w:t>
      </w:r>
      <w:r>
        <w:rPr>
          <w:rStyle w:val="Referencingstyle"/>
        </w:rPr>
        <w:t xml:space="preserve">, </w:t>
      </w:r>
      <w:proofErr w:type="gramStart"/>
      <w:r>
        <w:rPr>
          <w:rStyle w:val="Referencingstyle"/>
        </w:rPr>
        <w:t>subsection 276-472(5</w:t>
      </w:r>
      <w:proofErr w:type="gramEnd"/>
      <w:r>
        <w:rPr>
          <w:rStyle w:val="Referencingstyle"/>
        </w:rPr>
        <w:t>)</w:t>
      </w:r>
      <w:r w:rsidRPr="00BF3D02">
        <w:rPr>
          <w:rStyle w:val="Referencingstyle"/>
        </w:rPr>
        <w:t>]</w:t>
      </w:r>
    </w:p>
    <w:p w14:paraId="506527FE" w14:textId="5A762AFA" w:rsidR="00D01989" w:rsidRDefault="007D1AB3" w:rsidP="00D01989">
      <w:pPr>
        <w:pStyle w:val="base-text-paragraph"/>
        <w:numPr>
          <w:ilvl w:val="1"/>
          <w:numId w:val="44"/>
        </w:numPr>
      </w:pPr>
      <w:r>
        <w:t>T</w:t>
      </w:r>
      <w:r w:rsidR="00D01989" w:rsidRPr="0099461D">
        <w:t xml:space="preserve">he requirement that there are no CGT assets other than something nominal </w:t>
      </w:r>
      <w:r>
        <w:t xml:space="preserve">is consistent </w:t>
      </w:r>
      <w:r w:rsidR="005C430A">
        <w:t>with</w:t>
      </w:r>
      <w:r>
        <w:t xml:space="preserve"> existing requirements for disposals of assets by a trust to a company. (see subsection 124-860(4))</w:t>
      </w:r>
    </w:p>
    <w:p w14:paraId="53BC27D8" w14:textId="77777777" w:rsidR="00D01989" w:rsidRDefault="00D01989" w:rsidP="004140FF">
      <w:pPr>
        <w:pStyle w:val="Heading5"/>
      </w:pPr>
      <w:r>
        <w:t>Proportional interest must be maintained</w:t>
      </w:r>
    </w:p>
    <w:p w14:paraId="41F8226E" w14:textId="7B1D8CAC" w:rsidR="008344DE" w:rsidRPr="008344DE" w:rsidRDefault="00B72D68" w:rsidP="008344DE">
      <w:pPr>
        <w:pStyle w:val="base-text-paragraph"/>
        <w:numPr>
          <w:ilvl w:val="1"/>
          <w:numId w:val="44"/>
        </w:numPr>
      </w:pPr>
      <w:r>
        <w:t>The requirement that members</w:t>
      </w:r>
      <w:r w:rsidR="00D01989">
        <w:t xml:space="preserve"> own their interests in the same proportions ensures that </w:t>
      </w:r>
      <w:r w:rsidR="00E14A82">
        <w:t xml:space="preserve">the </w:t>
      </w:r>
      <w:r w:rsidR="00483432" w:rsidRPr="00744FCC">
        <w:t xml:space="preserve">restructuring relief </w:t>
      </w:r>
      <w:r w:rsidR="00483432">
        <w:t xml:space="preserve">is </w:t>
      </w:r>
      <w:r w:rsidR="00D01989">
        <w:t xml:space="preserve">available </w:t>
      </w:r>
      <w:r w:rsidR="00483432">
        <w:t>only</w:t>
      </w:r>
      <w:r w:rsidR="00D01989">
        <w:t xml:space="preserve"> where an entity’s economic ownership in the assets of the AMIT remains unchanged on the completion of the restructuring of the AMIT into an </w:t>
      </w:r>
      <w:r w:rsidR="00E14A82">
        <w:t>ASF of a CCIV</w:t>
      </w:r>
      <w:r w:rsidR="00BB0C16">
        <w:t xml:space="preserve"> —</w:t>
      </w:r>
      <w:r w:rsidR="00CC4A09">
        <w:t xml:space="preserve"> this is a fundamental principle of tax roll-over relief.</w:t>
      </w:r>
      <w:r w:rsidR="00D01989">
        <w:t xml:space="preserve"> </w:t>
      </w:r>
      <w:r w:rsidR="008344DE" w:rsidRPr="008344DE">
        <w:t>This ensures</w:t>
      </w:r>
      <w:r>
        <w:t xml:space="preserve"> that the tax status of membership interests</w:t>
      </w:r>
      <w:r w:rsidR="008344DE" w:rsidRPr="008344DE">
        <w:t xml:space="preserve"> </w:t>
      </w:r>
      <w:r w:rsidR="00483432">
        <w:t>is</w:t>
      </w:r>
      <w:r w:rsidR="008344DE" w:rsidRPr="008344DE">
        <w:t xml:space="preserve"> retained</w:t>
      </w:r>
      <w:r w:rsidR="00CC4A09">
        <w:t xml:space="preserve">, including </w:t>
      </w:r>
      <w:r w:rsidR="008344DE" w:rsidRPr="008344DE">
        <w:t>the asset cost base, the acquisition date and the member’s tax history (including unrealised tax losses).</w:t>
      </w:r>
    </w:p>
    <w:p w14:paraId="727DF24E" w14:textId="34C6858A" w:rsidR="00D01989" w:rsidRDefault="00D01989" w:rsidP="00D01989">
      <w:pPr>
        <w:pStyle w:val="base-text-paragraph"/>
        <w:numPr>
          <w:ilvl w:val="1"/>
          <w:numId w:val="44"/>
        </w:numPr>
      </w:pPr>
      <w:r>
        <w:t>At the end of the trust r</w:t>
      </w:r>
      <w:r w:rsidR="00B72D68">
        <w:t>estructuring period, each member</w:t>
      </w:r>
      <w:r>
        <w:t xml:space="preserve"> that owned interests in an AMIT must own </w:t>
      </w:r>
      <w:r w:rsidR="00E14A82">
        <w:t xml:space="preserve">replacement shares in the CCIV that are referable to the relevant ASF of the CCIV. Further, </w:t>
      </w:r>
      <w:r w:rsidR="00B86190">
        <w:t xml:space="preserve">the proportion of the replacement shares in the CCIV held by each member must be the same as the proportion of the interests the member held in the AMIT before the restructure occurred. </w:t>
      </w:r>
      <w:r w:rsidR="00E14A82">
        <w:rPr>
          <w:rStyle w:val="Referencingstyle"/>
        </w:rPr>
        <w:t xml:space="preserve">[Schedule </w:t>
      </w:r>
      <w:r w:rsidR="008514A3">
        <w:rPr>
          <w:rStyle w:val="Referencingstyle"/>
        </w:rPr>
        <w:t>6</w:t>
      </w:r>
      <w:r w:rsidR="00E14A82">
        <w:rPr>
          <w:rStyle w:val="Referencingstyle"/>
        </w:rPr>
        <w:t xml:space="preserve">, item </w:t>
      </w:r>
      <w:r w:rsidR="00E44A30">
        <w:rPr>
          <w:rStyle w:val="Referencingstyle"/>
        </w:rPr>
        <w:t>14</w:t>
      </w:r>
      <w:r w:rsidR="00E14A82">
        <w:rPr>
          <w:rStyle w:val="Referencingstyle"/>
        </w:rPr>
        <w:t>, subsection 276-472(</w:t>
      </w:r>
      <w:r w:rsidR="008514A3">
        <w:rPr>
          <w:rStyle w:val="Referencingstyle"/>
        </w:rPr>
        <w:t>6</w:t>
      </w:r>
      <w:r w:rsidR="00E14A82">
        <w:rPr>
          <w:rStyle w:val="Referencingstyle"/>
        </w:rPr>
        <w:t>)]</w:t>
      </w:r>
    </w:p>
    <w:p w14:paraId="0C956892" w14:textId="7CB92B29" w:rsidR="00D01989" w:rsidRPr="00467DBF" w:rsidRDefault="00D01989" w:rsidP="00D01989">
      <w:pPr>
        <w:pStyle w:val="base-text-paragraph"/>
        <w:numPr>
          <w:ilvl w:val="1"/>
          <w:numId w:val="44"/>
        </w:numPr>
        <w:rPr>
          <w:rStyle w:val="Referencingstyle"/>
          <w:b w:val="0"/>
          <w:i w:val="0"/>
          <w:sz w:val="22"/>
        </w:rPr>
      </w:pPr>
      <w:r>
        <w:lastRenderedPageBreak/>
        <w:t xml:space="preserve">In addition, the market value of the </w:t>
      </w:r>
      <w:r w:rsidR="00B51142">
        <w:t>shares in the CCIV that are referable to the ASF just after the AMIT</w:t>
      </w:r>
      <w:r>
        <w:t xml:space="preserve"> restructuring period must be at least substantially the same as the market value of the interests in the AMIT just before the start of the </w:t>
      </w:r>
      <w:r w:rsidR="00B51142">
        <w:t>AMIT</w:t>
      </w:r>
      <w:r>
        <w:t xml:space="preserve"> restructuring period. </w:t>
      </w:r>
      <w:r w:rsidR="00B51142">
        <w:rPr>
          <w:rStyle w:val="Referencingstyle"/>
        </w:rPr>
        <w:t xml:space="preserve">[Schedule </w:t>
      </w:r>
      <w:r w:rsidR="008514A3">
        <w:rPr>
          <w:rStyle w:val="Referencingstyle"/>
        </w:rPr>
        <w:t>6</w:t>
      </w:r>
      <w:r w:rsidR="00B51142">
        <w:rPr>
          <w:rStyle w:val="Referencingstyle"/>
        </w:rPr>
        <w:t xml:space="preserve">, item </w:t>
      </w:r>
      <w:r w:rsidR="00E44A30">
        <w:rPr>
          <w:rStyle w:val="Referencingstyle"/>
        </w:rPr>
        <w:t>14</w:t>
      </w:r>
      <w:r w:rsidR="00B51142">
        <w:rPr>
          <w:rStyle w:val="Referencingstyle"/>
        </w:rPr>
        <w:t>, paragraph 276-472(</w:t>
      </w:r>
      <w:r w:rsidR="008514A3">
        <w:rPr>
          <w:rStyle w:val="Referencingstyle"/>
        </w:rPr>
        <w:t>6</w:t>
      </w:r>
      <w:r w:rsidR="00B51142">
        <w:rPr>
          <w:rStyle w:val="Referencingstyle"/>
        </w:rPr>
        <w:t>)(b)]</w:t>
      </w:r>
    </w:p>
    <w:p w14:paraId="5AD96D39" w14:textId="78B5941D" w:rsidR="00D01989" w:rsidRPr="00FC3E66" w:rsidRDefault="00D01989" w:rsidP="00D01989">
      <w:pPr>
        <w:pStyle w:val="ExampleHeading"/>
        <w:numPr>
          <w:ilvl w:val="3"/>
          <w:numId w:val="45"/>
        </w:numPr>
        <w:ind w:left="0"/>
        <w:rPr>
          <w:b w:val="0"/>
        </w:rPr>
      </w:pPr>
      <w:r>
        <w:rPr>
          <w:rStyle w:val="Referencingstyle"/>
        </w:rPr>
        <w:t xml:space="preserve">: </w:t>
      </w:r>
      <w:r>
        <w:t>Multiple AMITs restructuring into an A</w:t>
      </w:r>
      <w:r w:rsidR="00CD0B7A">
        <w:t xml:space="preserve">SF of a </w:t>
      </w:r>
      <w:r>
        <w:t>CCIV</w:t>
      </w:r>
    </w:p>
    <w:p w14:paraId="624008C9" w14:textId="77777777" w:rsidR="00D01989" w:rsidRDefault="00D01989" w:rsidP="00D01989">
      <w:pPr>
        <w:pStyle w:val="exampletext"/>
        <w:keepNext/>
      </w:pPr>
      <w:r w:rsidRPr="00FC3E66">
        <w:rPr>
          <w:u w:val="single"/>
        </w:rPr>
        <w:t xml:space="preserve">Before </w:t>
      </w:r>
      <w:r>
        <w:rPr>
          <w:u w:val="single"/>
        </w:rPr>
        <w:t>restructure</w:t>
      </w:r>
      <w:r>
        <w:t xml:space="preserve"> </w:t>
      </w:r>
    </w:p>
    <w:p w14:paraId="45E8E7BF" w14:textId="29ABC764" w:rsidR="00155EB3" w:rsidRPr="00155EB3" w:rsidRDefault="00D01989" w:rsidP="00155EB3">
      <w:pPr>
        <w:pStyle w:val="exampletext"/>
        <w:rPr>
          <w:rStyle w:val="Referencingstyle"/>
          <w:b w:val="0"/>
          <w:i w:val="0"/>
          <w:u w:val="single"/>
        </w:rPr>
      </w:pPr>
      <w:r>
        <w:rPr>
          <w:noProof/>
        </w:rPr>
        <w:drawing>
          <wp:inline distT="0" distB="0" distL="0" distR="0" wp14:anchorId="344FAA15" wp14:editId="6F3CC104">
            <wp:extent cx="2361538" cy="2317637"/>
            <wp:effectExtent l="0" t="0" r="127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66261" cy="2322272"/>
                    </a:xfrm>
                    <a:prstGeom prst="rect">
                      <a:avLst/>
                    </a:prstGeom>
                    <a:noFill/>
                    <a:ln>
                      <a:noFill/>
                    </a:ln>
                  </pic:spPr>
                </pic:pic>
              </a:graphicData>
            </a:graphic>
          </wp:inline>
        </w:drawing>
      </w:r>
      <w:r>
        <w:rPr>
          <w:rStyle w:val="Referencingstyle"/>
          <w:sz w:val="22"/>
        </w:rPr>
        <w:br/>
      </w:r>
    </w:p>
    <w:p w14:paraId="389D8DC0" w14:textId="77777777" w:rsidR="00D01989" w:rsidRPr="007322D0" w:rsidRDefault="00155EB3" w:rsidP="00EF468D">
      <w:pPr>
        <w:pStyle w:val="exampletext"/>
        <w:keepNext/>
        <w:keepLines/>
        <w:rPr>
          <w:rStyle w:val="Referencingstyle"/>
          <w:b w:val="0"/>
          <w:i w:val="0"/>
          <w:sz w:val="20"/>
          <w:u w:val="single"/>
        </w:rPr>
      </w:pPr>
      <w:r w:rsidRPr="007322D0">
        <w:rPr>
          <w:rStyle w:val="Referencingstyle"/>
          <w:b w:val="0"/>
          <w:i w:val="0"/>
          <w:noProof/>
          <w:sz w:val="22"/>
        </w:rPr>
        <mc:AlternateContent>
          <mc:Choice Requires="wps">
            <w:drawing>
              <wp:anchor distT="0" distB="0" distL="114300" distR="114300" simplePos="0" relativeHeight="251658240" behindDoc="0" locked="0" layoutInCell="1" allowOverlap="1" wp14:anchorId="4D8CB7A1" wp14:editId="6020A516">
                <wp:simplePos x="0" y="0"/>
                <wp:positionH relativeFrom="column">
                  <wp:posOffset>1194435</wp:posOffset>
                </wp:positionH>
                <wp:positionV relativeFrom="paragraph">
                  <wp:posOffset>175260</wp:posOffset>
                </wp:positionV>
                <wp:extent cx="2771775" cy="27146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2714625"/>
                        </a:xfrm>
                        <a:prstGeom prst="rect">
                          <a:avLst/>
                        </a:prstGeom>
                        <a:solidFill>
                          <a:srgbClr val="FFFFFF"/>
                        </a:solidFill>
                        <a:ln w="9525">
                          <a:noFill/>
                          <a:miter lim="800000"/>
                          <a:headEnd/>
                          <a:tailEnd/>
                        </a:ln>
                      </wps:spPr>
                      <wps:txbx>
                        <w:txbxContent>
                          <w:p w14:paraId="0E9CF45C" w14:textId="6CDE7745" w:rsidR="00B61D64" w:rsidRDefault="00B61D64">
                            <w:r>
                              <w:rPr>
                                <w:noProof/>
                              </w:rPr>
                              <w:drawing>
                                <wp:inline distT="0" distB="0" distL="0" distR="0" wp14:anchorId="43D33E78" wp14:editId="7BEE1A57">
                                  <wp:extent cx="2311129" cy="2486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14575" cy="248973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4.05pt;margin-top:13.8pt;width:218.25pt;height:2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" stroked="f">
                <v:textbox>
                  <w:txbxContent>
                    <w:p w14:paraId="0E9CF45C" w14:textId="6CDE7745" w:rsidR="00B61D64" w:rsidRDefault="00B61D64">
                      <w:r>
                        <w:rPr>
                          <w:noProof/>
                        </w:rPr>
                        <w:drawing>
                          <wp:inline distT="0" distB="0" distL="0" distR="0" wp14:anchorId="43D33E78" wp14:editId="7BEE1A57">
                            <wp:extent cx="2311129" cy="2486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14575" cy="2489732"/>
                                    </a:xfrm>
                                    <a:prstGeom prst="rect">
                                      <a:avLst/>
                                    </a:prstGeom>
                                    <a:noFill/>
                                    <a:ln>
                                      <a:noFill/>
                                    </a:ln>
                                  </pic:spPr>
                                </pic:pic>
                              </a:graphicData>
                            </a:graphic>
                          </wp:inline>
                        </w:drawing>
                      </w:r>
                    </w:p>
                  </w:txbxContent>
                </v:textbox>
              </v:shape>
            </w:pict>
          </mc:Fallback>
        </mc:AlternateContent>
      </w:r>
      <w:r w:rsidR="00D01989" w:rsidRPr="007322D0">
        <w:rPr>
          <w:rStyle w:val="Referencingstyle"/>
          <w:b w:val="0"/>
          <w:i w:val="0"/>
          <w:sz w:val="20"/>
          <w:u w:val="single"/>
        </w:rPr>
        <w:t>After restructure</w:t>
      </w:r>
    </w:p>
    <w:p w14:paraId="0F53D359" w14:textId="219B9091" w:rsidR="00D01989" w:rsidRDefault="00D01989" w:rsidP="00EF468D">
      <w:pPr>
        <w:pStyle w:val="exampletext"/>
        <w:keepNext/>
        <w:keepLines/>
        <w:rPr>
          <w:rStyle w:val="Referencingstyle"/>
          <w:b w:val="0"/>
          <w:i w:val="0"/>
          <w:sz w:val="22"/>
        </w:rPr>
      </w:pPr>
    </w:p>
    <w:p w14:paraId="3E74177C" w14:textId="77777777" w:rsidR="00155EB3" w:rsidRDefault="00155EB3" w:rsidP="00EF468D">
      <w:pPr>
        <w:pStyle w:val="exampletext"/>
        <w:keepNext/>
        <w:keepLines/>
        <w:rPr>
          <w:rStyle w:val="Referencingstyle"/>
          <w:b w:val="0"/>
          <w:i w:val="0"/>
          <w:sz w:val="22"/>
        </w:rPr>
      </w:pPr>
    </w:p>
    <w:p w14:paraId="2D9289CE" w14:textId="77777777" w:rsidR="007322D0" w:rsidRDefault="007322D0" w:rsidP="00EF468D">
      <w:pPr>
        <w:pStyle w:val="exampletext"/>
        <w:keepNext/>
        <w:keepLines/>
        <w:rPr>
          <w:rStyle w:val="Referencingstyle"/>
          <w:b w:val="0"/>
          <w:i w:val="0"/>
          <w:sz w:val="22"/>
        </w:rPr>
      </w:pPr>
    </w:p>
    <w:p w14:paraId="2C3A8275" w14:textId="77777777" w:rsidR="007322D0" w:rsidRDefault="007322D0" w:rsidP="00EF468D">
      <w:pPr>
        <w:pStyle w:val="exampletext"/>
        <w:keepNext/>
        <w:keepLines/>
        <w:rPr>
          <w:rStyle w:val="Referencingstyle"/>
          <w:b w:val="0"/>
          <w:i w:val="0"/>
          <w:sz w:val="22"/>
        </w:rPr>
      </w:pPr>
    </w:p>
    <w:p w14:paraId="0CE67E72" w14:textId="77777777" w:rsidR="007322D0" w:rsidRDefault="007322D0" w:rsidP="00EF468D">
      <w:pPr>
        <w:pStyle w:val="exampletext"/>
        <w:keepNext/>
        <w:keepLines/>
        <w:rPr>
          <w:rStyle w:val="Referencingstyle"/>
          <w:b w:val="0"/>
          <w:i w:val="0"/>
          <w:sz w:val="22"/>
        </w:rPr>
      </w:pPr>
    </w:p>
    <w:p w14:paraId="756D9288" w14:textId="77777777" w:rsidR="007322D0" w:rsidRDefault="007322D0" w:rsidP="00EF468D">
      <w:pPr>
        <w:pStyle w:val="exampletext"/>
        <w:keepNext/>
        <w:keepLines/>
        <w:rPr>
          <w:rStyle w:val="Referencingstyle"/>
          <w:b w:val="0"/>
          <w:i w:val="0"/>
          <w:sz w:val="22"/>
        </w:rPr>
      </w:pPr>
    </w:p>
    <w:p w14:paraId="3DF2E912" w14:textId="77777777" w:rsidR="007322D0" w:rsidRDefault="007322D0" w:rsidP="00EF468D">
      <w:pPr>
        <w:pStyle w:val="exampletext"/>
        <w:keepNext/>
        <w:keepLines/>
        <w:rPr>
          <w:rStyle w:val="Referencingstyle"/>
          <w:b w:val="0"/>
          <w:i w:val="0"/>
          <w:sz w:val="22"/>
        </w:rPr>
      </w:pPr>
    </w:p>
    <w:p w14:paraId="66EAACE1" w14:textId="77777777" w:rsidR="007322D0" w:rsidRDefault="007322D0" w:rsidP="00EF468D">
      <w:pPr>
        <w:pStyle w:val="exampletext"/>
        <w:keepNext/>
        <w:keepLines/>
        <w:rPr>
          <w:rStyle w:val="Referencingstyle"/>
          <w:b w:val="0"/>
          <w:i w:val="0"/>
          <w:sz w:val="22"/>
        </w:rPr>
      </w:pPr>
    </w:p>
    <w:p w14:paraId="456A3E8A" w14:textId="77777777" w:rsidR="007322D0" w:rsidRDefault="007322D0" w:rsidP="00EF468D">
      <w:pPr>
        <w:pStyle w:val="exampletext"/>
        <w:keepNext/>
        <w:keepLines/>
        <w:rPr>
          <w:rStyle w:val="Referencingstyle"/>
          <w:b w:val="0"/>
          <w:i w:val="0"/>
          <w:sz w:val="22"/>
        </w:rPr>
      </w:pPr>
    </w:p>
    <w:p w14:paraId="710A5FE0" w14:textId="77777777" w:rsidR="007322D0" w:rsidRDefault="007322D0" w:rsidP="00EF468D">
      <w:pPr>
        <w:pStyle w:val="exampletext"/>
        <w:keepNext/>
        <w:keepLines/>
        <w:rPr>
          <w:rStyle w:val="Referencingstyle"/>
          <w:b w:val="0"/>
          <w:i w:val="0"/>
          <w:sz w:val="22"/>
        </w:rPr>
      </w:pPr>
    </w:p>
    <w:p w14:paraId="52D2EA09" w14:textId="77777777" w:rsidR="007322D0" w:rsidRDefault="007322D0" w:rsidP="00EF468D">
      <w:pPr>
        <w:pStyle w:val="exampletext"/>
        <w:keepNext/>
        <w:keepLines/>
        <w:rPr>
          <w:rStyle w:val="Referencingstyle"/>
          <w:b w:val="0"/>
          <w:i w:val="0"/>
          <w:sz w:val="22"/>
        </w:rPr>
      </w:pPr>
    </w:p>
    <w:p w14:paraId="57AD8BD4" w14:textId="77777777" w:rsidR="000E6F85" w:rsidRDefault="000E6F85" w:rsidP="00EF468D">
      <w:pPr>
        <w:pStyle w:val="exampletext"/>
        <w:keepNext/>
        <w:keepLines/>
      </w:pPr>
    </w:p>
    <w:p w14:paraId="1DDFB395" w14:textId="41398296" w:rsidR="00D01989" w:rsidRDefault="00D01989" w:rsidP="00EF468D">
      <w:pPr>
        <w:pStyle w:val="exampletext"/>
        <w:keepNext/>
        <w:keepLines/>
      </w:pPr>
      <w:r>
        <w:t xml:space="preserve">AMIT 1 (which owns Assets 1) and AMIT 2 (which owns Assets 2) both choose to restructure into </w:t>
      </w:r>
      <w:r w:rsidR="00155EB3">
        <w:t>separate ASFs of a CCIV.</w:t>
      </w:r>
    </w:p>
    <w:p w14:paraId="29F92216" w14:textId="77777777" w:rsidR="00D01989" w:rsidRDefault="00D01989" w:rsidP="00D01989">
      <w:pPr>
        <w:pStyle w:val="exampletext"/>
      </w:pPr>
      <w:r>
        <w:t>At the end of the restructuring period:</w:t>
      </w:r>
    </w:p>
    <w:p w14:paraId="559D805B" w14:textId="407D2196" w:rsidR="00D01989" w:rsidRDefault="00D01989" w:rsidP="00D01989">
      <w:pPr>
        <w:pStyle w:val="exampledotpoint1"/>
        <w:numPr>
          <w:ilvl w:val="0"/>
          <w:numId w:val="14"/>
        </w:numPr>
        <w:spacing w:before="120" w:after="120"/>
      </w:pPr>
      <w:r>
        <w:lastRenderedPageBreak/>
        <w:t xml:space="preserve">AMIT 1 </w:t>
      </w:r>
      <w:r w:rsidR="004A0EC0">
        <w:t xml:space="preserve">transfers its assets and liabilities to </w:t>
      </w:r>
      <w:r w:rsidR="00A24F3F">
        <w:t xml:space="preserve">ASF 1 of the </w:t>
      </w:r>
      <w:r>
        <w:t>CCIV; and</w:t>
      </w:r>
    </w:p>
    <w:p w14:paraId="1651FF26" w14:textId="1B7E41D3" w:rsidR="00D01989" w:rsidRDefault="00D01989" w:rsidP="00D01989">
      <w:pPr>
        <w:pStyle w:val="exampledotpoint1"/>
        <w:numPr>
          <w:ilvl w:val="0"/>
          <w:numId w:val="14"/>
        </w:numPr>
        <w:spacing w:before="120" w:after="120"/>
      </w:pPr>
      <w:r>
        <w:t xml:space="preserve">AMIT 2 </w:t>
      </w:r>
      <w:r w:rsidR="004A0EC0">
        <w:t>transfers its assets and liabilities to</w:t>
      </w:r>
      <w:r>
        <w:t xml:space="preserve"> </w:t>
      </w:r>
      <w:r w:rsidR="00A24F3F">
        <w:t xml:space="preserve">ASF 2 of the </w:t>
      </w:r>
      <w:r>
        <w:t xml:space="preserve">CCIV. </w:t>
      </w:r>
    </w:p>
    <w:p w14:paraId="62B61158" w14:textId="09D02E43" w:rsidR="00D01989" w:rsidRDefault="00D01989" w:rsidP="00D01989">
      <w:pPr>
        <w:pStyle w:val="exampletext"/>
      </w:pPr>
      <w:r>
        <w:t xml:space="preserve">Further, unit holders in AMIT 1 and AMIT 2 now own shares </w:t>
      </w:r>
      <w:r w:rsidR="00A24F3F">
        <w:t xml:space="preserve">in the CCIV </w:t>
      </w:r>
      <w:r>
        <w:t xml:space="preserve">that are referrable to </w:t>
      </w:r>
      <w:r w:rsidR="00A24F3F">
        <w:t>ASF</w:t>
      </w:r>
      <w:r>
        <w:t xml:space="preserve"> 1 and </w:t>
      </w:r>
      <w:r w:rsidR="00A24F3F">
        <w:t>ASF</w:t>
      </w:r>
      <w:r>
        <w:t xml:space="preserve"> 2 respectively.</w:t>
      </w:r>
    </w:p>
    <w:p w14:paraId="7DC4542D" w14:textId="4031820C" w:rsidR="00D01989" w:rsidRDefault="00D01989" w:rsidP="00D01989">
      <w:pPr>
        <w:pStyle w:val="exampletext"/>
      </w:pPr>
      <w:r>
        <w:t>Each entity that owned interes</w:t>
      </w:r>
      <w:r w:rsidR="001F12D4">
        <w:t>ts in AMIT 1 and AMIT 2 now own</w:t>
      </w:r>
      <w:r w:rsidR="0077139C">
        <w:t>s</w:t>
      </w:r>
      <w:r w:rsidR="001F12D4">
        <w:t xml:space="preserve"> shares in the CCIV referable to ASF 1 and ASF 2 respectively, </w:t>
      </w:r>
      <w:r>
        <w:t>in the same proportion</w:t>
      </w:r>
      <w:r w:rsidR="0077139C">
        <w:t xml:space="preserve"> as the entity owned those interests in AMIT 1 and AMIT 2</w:t>
      </w:r>
      <w:r>
        <w:t xml:space="preserve"> prior to the restructure. </w:t>
      </w:r>
    </w:p>
    <w:p w14:paraId="6FDE422C" w14:textId="28E0D134" w:rsidR="00D01989" w:rsidRDefault="00D01989" w:rsidP="00D01989">
      <w:pPr>
        <w:pStyle w:val="exampletext"/>
      </w:pPr>
      <w:r>
        <w:t xml:space="preserve">Consequently, provided that other requirements are satisfied, </w:t>
      </w:r>
      <w:r w:rsidR="00A90E4F">
        <w:t xml:space="preserve">the </w:t>
      </w:r>
      <w:r w:rsidR="00483432" w:rsidRPr="00744FCC">
        <w:t xml:space="preserve">restructuring relief </w:t>
      </w:r>
      <w:r w:rsidR="00483432">
        <w:t>applies</w:t>
      </w:r>
      <w:r w:rsidR="00A90E4F">
        <w:t xml:space="preserve"> </w:t>
      </w:r>
      <w:r>
        <w:t>to:</w:t>
      </w:r>
    </w:p>
    <w:p w14:paraId="3C9D8D8B" w14:textId="77777777" w:rsidR="00D01989" w:rsidRDefault="00D01989" w:rsidP="00D01989">
      <w:pPr>
        <w:pStyle w:val="exampledotpoint1"/>
        <w:numPr>
          <w:ilvl w:val="0"/>
          <w:numId w:val="14"/>
        </w:numPr>
        <w:spacing w:before="120" w:after="120"/>
      </w:pPr>
      <w:r>
        <w:t>AMIT 1;</w:t>
      </w:r>
    </w:p>
    <w:p w14:paraId="034BD535" w14:textId="77777777" w:rsidR="00D01989" w:rsidRDefault="00D01989" w:rsidP="00D01989">
      <w:pPr>
        <w:pStyle w:val="exampledotpoint1"/>
        <w:numPr>
          <w:ilvl w:val="0"/>
          <w:numId w:val="14"/>
        </w:numPr>
        <w:spacing w:before="120" w:after="120"/>
      </w:pPr>
      <w:r>
        <w:t xml:space="preserve">AMIT 2; and </w:t>
      </w:r>
    </w:p>
    <w:p w14:paraId="0F3EFF37" w14:textId="6C560CA7" w:rsidR="00D01989" w:rsidRDefault="0077139C" w:rsidP="00D01989">
      <w:pPr>
        <w:pStyle w:val="exampledotpoint1"/>
        <w:numPr>
          <w:ilvl w:val="0"/>
          <w:numId w:val="14"/>
        </w:numPr>
        <w:spacing w:before="120" w:after="120"/>
      </w:pPr>
      <w:proofErr w:type="gramStart"/>
      <w:r>
        <w:t>each</w:t>
      </w:r>
      <w:proofErr w:type="gramEnd"/>
      <w:r>
        <w:t xml:space="preserve"> entity </w:t>
      </w:r>
      <w:r w:rsidR="00D01989">
        <w:t xml:space="preserve">that owned </w:t>
      </w:r>
      <w:r w:rsidR="00A90E4F">
        <w:t xml:space="preserve">interests in AMIT 1 and AMIT 2. </w:t>
      </w:r>
    </w:p>
    <w:p w14:paraId="31391A75" w14:textId="7FCF0741" w:rsidR="007D7ACE" w:rsidRDefault="007D7ACE" w:rsidP="004140FF">
      <w:pPr>
        <w:pStyle w:val="Heading5"/>
      </w:pPr>
      <w:r>
        <w:t xml:space="preserve">AMIT classes must be maintained </w:t>
      </w:r>
    </w:p>
    <w:p w14:paraId="14A3CCA3" w14:textId="19B1E01F" w:rsidR="007D7ACE" w:rsidRPr="007D7ACE" w:rsidRDefault="007D7ACE" w:rsidP="007D7ACE">
      <w:pPr>
        <w:pStyle w:val="base-text-paragraph"/>
      </w:pPr>
      <w:r>
        <w:t xml:space="preserve">Consistent with </w:t>
      </w:r>
      <w:r w:rsidR="00B60A80">
        <w:t xml:space="preserve">the </w:t>
      </w:r>
      <w:r>
        <w:t xml:space="preserve">principle that an </w:t>
      </w:r>
      <w:r w:rsidRPr="007D7ACE">
        <w:t>entity’s economic ownership in the assets of the AMIT remains unchanged</w:t>
      </w:r>
      <w:r w:rsidR="00CD0B7A">
        <w:t>,</w:t>
      </w:r>
      <w:r w:rsidRPr="007D7ACE">
        <w:t xml:space="preserve"> </w:t>
      </w:r>
      <w:r w:rsidR="00CD0B7A">
        <w:t>w</w:t>
      </w:r>
      <w:r>
        <w:t>here membership interests in the AMIT are divided into classes just before the start of the AMIT restructuring period, the membership interests in the CCIV referable to the ASF must also be divided into the same class</w:t>
      </w:r>
      <w:r w:rsidR="00B60A80">
        <w:t>es</w:t>
      </w:r>
      <w:r>
        <w:t xml:space="preserve"> after the restructure. </w:t>
      </w:r>
      <w:r w:rsidRPr="007D7ACE">
        <w:rPr>
          <w:rStyle w:val="Referencingstyle"/>
        </w:rPr>
        <w:t>[Schedule</w:t>
      </w:r>
      <w:r>
        <w:rPr>
          <w:rStyle w:val="Referencingstyle"/>
        </w:rPr>
        <w:t xml:space="preserve"> </w:t>
      </w:r>
      <w:r w:rsidR="0018599E">
        <w:rPr>
          <w:rStyle w:val="Referencingstyle"/>
        </w:rPr>
        <w:t>6</w:t>
      </w:r>
      <w:r>
        <w:rPr>
          <w:rStyle w:val="Referencingstyle"/>
        </w:rPr>
        <w:t xml:space="preserve">, item </w:t>
      </w:r>
      <w:r w:rsidR="00E44A30">
        <w:rPr>
          <w:rStyle w:val="Referencingstyle"/>
        </w:rPr>
        <w:t>14</w:t>
      </w:r>
      <w:r>
        <w:rPr>
          <w:rStyle w:val="Referencingstyle"/>
        </w:rPr>
        <w:t>, paragraph 276-472(</w:t>
      </w:r>
      <w:r w:rsidR="0018599E">
        <w:rPr>
          <w:rStyle w:val="Referencingstyle"/>
        </w:rPr>
        <w:t>7</w:t>
      </w:r>
      <w:r w:rsidRPr="007D7ACE">
        <w:rPr>
          <w:rStyle w:val="Referencingstyle"/>
        </w:rPr>
        <w:t>)</w:t>
      </w:r>
      <w:r>
        <w:rPr>
          <w:rStyle w:val="Referencingstyle"/>
        </w:rPr>
        <w:t>(a)</w:t>
      </w:r>
      <w:r w:rsidRPr="007D7ACE">
        <w:rPr>
          <w:rStyle w:val="Referencingstyle"/>
        </w:rPr>
        <w:t>]</w:t>
      </w:r>
    </w:p>
    <w:p w14:paraId="6AEE32B9" w14:textId="072AD39F" w:rsidR="007D7ACE" w:rsidRPr="007D7ACE" w:rsidRDefault="007D7ACE" w:rsidP="007D7ACE">
      <w:pPr>
        <w:pStyle w:val="base-text-paragraph"/>
      </w:pPr>
      <w:r w:rsidRPr="007D7ACE">
        <w:t xml:space="preserve">At the end of the trust restructuring period, each </w:t>
      </w:r>
      <w:r w:rsidR="00E614AD">
        <w:t xml:space="preserve">class of membership interests in the ASF must have the same owners as the corresponding class of membership interests in the AMIT had </w:t>
      </w:r>
      <w:r w:rsidRPr="007D7ACE">
        <w:t xml:space="preserve">before the restructure occurred. </w:t>
      </w:r>
      <w:r w:rsidRPr="007D7ACE">
        <w:rPr>
          <w:rStyle w:val="Referencingstyle"/>
        </w:rPr>
        <w:t>[Schedule</w:t>
      </w:r>
      <w:r>
        <w:rPr>
          <w:rStyle w:val="Referencingstyle"/>
        </w:rPr>
        <w:t xml:space="preserve"> </w:t>
      </w:r>
      <w:r w:rsidR="0018599E">
        <w:rPr>
          <w:rStyle w:val="Referencingstyle"/>
        </w:rPr>
        <w:t>6</w:t>
      </w:r>
      <w:r>
        <w:rPr>
          <w:rStyle w:val="Referencingstyle"/>
        </w:rPr>
        <w:t xml:space="preserve">, item </w:t>
      </w:r>
      <w:r w:rsidR="00E44A30">
        <w:rPr>
          <w:rStyle w:val="Referencingstyle"/>
        </w:rPr>
        <w:t>14</w:t>
      </w:r>
      <w:r>
        <w:rPr>
          <w:rStyle w:val="Referencingstyle"/>
        </w:rPr>
        <w:t>, subsection 276-472(</w:t>
      </w:r>
      <w:r w:rsidR="0018599E">
        <w:rPr>
          <w:rStyle w:val="Referencingstyle"/>
        </w:rPr>
        <w:t>7</w:t>
      </w:r>
      <w:r w:rsidRPr="007D7ACE">
        <w:rPr>
          <w:rStyle w:val="Referencingstyle"/>
        </w:rPr>
        <w:t>)</w:t>
      </w:r>
      <w:r w:rsidR="00E614AD">
        <w:rPr>
          <w:rStyle w:val="Referencingstyle"/>
        </w:rPr>
        <w:t>(b)</w:t>
      </w:r>
      <w:r w:rsidRPr="007D7ACE">
        <w:rPr>
          <w:rStyle w:val="Referencingstyle"/>
        </w:rPr>
        <w:t>]</w:t>
      </w:r>
    </w:p>
    <w:p w14:paraId="50054067" w14:textId="57EFB956" w:rsidR="00D90C81" w:rsidRDefault="00D90C81" w:rsidP="00700077">
      <w:pPr>
        <w:pStyle w:val="Heading4"/>
      </w:pPr>
      <w:r>
        <w:t>CGT roll</w:t>
      </w:r>
      <w:r w:rsidR="00B60A80">
        <w:t>-</w:t>
      </w:r>
      <w:r>
        <w:t>over relief</w:t>
      </w:r>
    </w:p>
    <w:p w14:paraId="43EBEC1D" w14:textId="7ACBEE7C" w:rsidR="005F76EA" w:rsidRPr="00C66341" w:rsidRDefault="005F76EA" w:rsidP="00700077">
      <w:pPr>
        <w:pStyle w:val="base-text-paragraph"/>
      </w:pPr>
      <w:r>
        <w:t xml:space="preserve">AMITs that </w:t>
      </w:r>
      <w:r w:rsidR="00AE7B17">
        <w:t>choose to restructure to an ASF of a CCIV will h</w:t>
      </w:r>
      <w:r>
        <w:t>ave access</w:t>
      </w:r>
      <w:r w:rsidRPr="00DF023A">
        <w:t xml:space="preserve"> </w:t>
      </w:r>
      <w:r w:rsidRPr="00784576">
        <w:t xml:space="preserve">to </w:t>
      </w:r>
      <w:r w:rsidR="00CD0B7A">
        <w:t xml:space="preserve">CGT </w:t>
      </w:r>
      <w:r w:rsidRPr="00784576">
        <w:t xml:space="preserve">rollover relief at both the entity level (for assets) and </w:t>
      </w:r>
      <w:r w:rsidR="00483E25">
        <w:t>the investor level (for membership interests</w:t>
      </w:r>
      <w:r w:rsidRPr="00784576">
        <w:t>).</w:t>
      </w:r>
      <w:r>
        <w:t xml:space="preserve"> This is achieved by adapting the existing CGT roll</w:t>
      </w:r>
      <w:r>
        <w:noBreakHyphen/>
        <w:t xml:space="preserve">over provisions for trust restructures under </w:t>
      </w:r>
      <w:r w:rsidR="00CD0B7A">
        <w:t>S</w:t>
      </w:r>
      <w:r>
        <w:t>ubdivision</w:t>
      </w:r>
      <w:r w:rsidR="00CD0B7A">
        <w:t> </w:t>
      </w:r>
      <w:r>
        <w:t>124-N for the purposes of AM</w:t>
      </w:r>
      <w:r w:rsidR="00AE7B17">
        <w:t>ITs and ASFs of a CCIVs.</w:t>
      </w:r>
    </w:p>
    <w:p w14:paraId="4CCDFD82" w14:textId="105900EB" w:rsidR="005F76EA" w:rsidRDefault="005F76EA" w:rsidP="00700077">
      <w:pPr>
        <w:pStyle w:val="base-text-paragraph"/>
      </w:pPr>
      <w:r>
        <w:t>A CGT roll</w:t>
      </w:r>
      <w:r w:rsidR="00B60A80">
        <w:t>-</w:t>
      </w:r>
      <w:r>
        <w:t>over provides relief on certain capital gains events, to ensure that funds and investors do not incur an income tax liability at the time of transfer and defers tax consequences for members.</w:t>
      </w:r>
    </w:p>
    <w:p w14:paraId="79CD92E9" w14:textId="74D3BBA9" w:rsidR="009D795D" w:rsidRDefault="009D795D" w:rsidP="009D795D">
      <w:pPr>
        <w:pStyle w:val="Heading5"/>
      </w:pPr>
      <w:r>
        <w:t>Owner of units or interests in an AMIT</w:t>
      </w:r>
    </w:p>
    <w:p w14:paraId="493E0BE9" w14:textId="43551883" w:rsidR="00AE7B17" w:rsidRPr="00AE7B17" w:rsidRDefault="00CD0B7A" w:rsidP="00700077">
      <w:pPr>
        <w:pStyle w:val="base-text-paragraph"/>
      </w:pPr>
      <w:r>
        <w:t>If a</w:t>
      </w:r>
      <w:r w:rsidR="00700077">
        <w:t>n</w:t>
      </w:r>
      <w:r>
        <w:t xml:space="preserve"> AMIT restructures and becomes an ASF of a CCIV</w:t>
      </w:r>
      <w:r w:rsidR="005B11F0">
        <w:t>,</w:t>
      </w:r>
      <w:r>
        <w:t xml:space="preserve"> the </w:t>
      </w:r>
      <w:r w:rsidR="00CE20EB">
        <w:t>original units or other</w:t>
      </w:r>
      <w:r>
        <w:t xml:space="preserve"> interests </w:t>
      </w:r>
      <w:r w:rsidR="00CE20EB">
        <w:t xml:space="preserve">(the original interests) </w:t>
      </w:r>
      <w:r>
        <w:t xml:space="preserve">that a member holds in the AMIT will be replaced with membership interests </w:t>
      </w:r>
      <w:r w:rsidR="00CE20EB">
        <w:t xml:space="preserve">(the replacement interests) </w:t>
      </w:r>
      <w:r>
        <w:t>in the ASF of the CCIV.</w:t>
      </w:r>
    </w:p>
    <w:p w14:paraId="58109D2B" w14:textId="06AE5FE2" w:rsidR="00CE20EB" w:rsidRPr="00CE20EB" w:rsidRDefault="00CE20EB" w:rsidP="00700077">
      <w:pPr>
        <w:pStyle w:val="base-text-paragraph"/>
      </w:pPr>
      <w:r>
        <w:lastRenderedPageBreak/>
        <w:t xml:space="preserve">If both the AMIT and the CCIV choose the restructure relief, the owner of the units or </w:t>
      </w:r>
      <w:r w:rsidR="00975CB6">
        <w:t>interest will obtain a CGT </w:t>
      </w:r>
      <w:r>
        <w:t>roll</w:t>
      </w:r>
      <w:r>
        <w:noBreakHyphen/>
        <w:t xml:space="preserve">over in relation to the membership interests. As a result, the </w:t>
      </w:r>
      <w:r w:rsidR="00BB0C16">
        <w:t>first element of</w:t>
      </w:r>
      <w:r>
        <w:t xml:space="preserve"> the cost base </w:t>
      </w:r>
      <w:r w:rsidR="00975CB6">
        <w:t xml:space="preserve">and reduced cost base </w:t>
      </w:r>
      <w:r>
        <w:t xml:space="preserve">of the replacement interests will be the same as the </w:t>
      </w:r>
      <w:r w:rsidR="00BB0C16">
        <w:t xml:space="preserve">first element of the </w:t>
      </w:r>
      <w:r>
        <w:t xml:space="preserve">cost base </w:t>
      </w:r>
      <w:r w:rsidR="00483432">
        <w:t>and reduced cost base</w:t>
      </w:r>
      <w:r>
        <w:t xml:space="preserve"> for the original interests. In addition, the owner will be taken to have </w:t>
      </w:r>
      <w:r w:rsidR="008C052E">
        <w:t>acquired</w:t>
      </w:r>
      <w:r>
        <w:t xml:space="preserve"> the </w:t>
      </w:r>
      <w:r w:rsidR="00700077">
        <w:t xml:space="preserve">replacement interests at the same time as they acquired the </w:t>
      </w:r>
      <w:r>
        <w:t xml:space="preserve">original interests. </w:t>
      </w:r>
      <w:r>
        <w:rPr>
          <w:rStyle w:val="Referencingstyle"/>
        </w:rPr>
        <w:t>[Schedule</w:t>
      </w:r>
      <w:r w:rsidR="00483432">
        <w:rPr>
          <w:rStyle w:val="Referencingstyle"/>
        </w:rPr>
        <w:t> </w:t>
      </w:r>
      <w:r w:rsidR="00287B9C">
        <w:rPr>
          <w:rStyle w:val="Referencingstyle"/>
        </w:rPr>
        <w:t>6</w:t>
      </w:r>
      <w:r>
        <w:rPr>
          <w:rStyle w:val="Referencingstyle"/>
        </w:rPr>
        <w:t xml:space="preserve">, item </w:t>
      </w:r>
      <w:r w:rsidR="00E44A30">
        <w:rPr>
          <w:rStyle w:val="Referencingstyle"/>
        </w:rPr>
        <w:t>14</w:t>
      </w:r>
      <w:r>
        <w:rPr>
          <w:rStyle w:val="Referencingstyle"/>
        </w:rPr>
        <w:t>, section</w:t>
      </w:r>
      <w:r w:rsidR="00975CB6">
        <w:rPr>
          <w:rStyle w:val="Referencingstyle"/>
        </w:rPr>
        <w:t> </w:t>
      </w:r>
      <w:r>
        <w:rPr>
          <w:rStyle w:val="Referencingstyle"/>
        </w:rPr>
        <w:t>276-474</w:t>
      </w:r>
      <w:r w:rsidRPr="0031531E">
        <w:rPr>
          <w:rStyle w:val="Referencingstyle"/>
        </w:rPr>
        <w:t>]</w:t>
      </w:r>
    </w:p>
    <w:p w14:paraId="20DBB9EA" w14:textId="2A6079D8" w:rsidR="0016134B" w:rsidRDefault="009D795D" w:rsidP="004140FF">
      <w:pPr>
        <w:pStyle w:val="Heading5"/>
      </w:pPr>
      <w:r>
        <w:t>CGT c</w:t>
      </w:r>
      <w:r w:rsidR="0016134B">
        <w:t xml:space="preserve">onsequences </w:t>
      </w:r>
      <w:r>
        <w:t>for the AMIT and the CCIV</w:t>
      </w:r>
    </w:p>
    <w:p w14:paraId="5178EDD0" w14:textId="77777777" w:rsidR="00975CB6" w:rsidRDefault="00975CB6" w:rsidP="00EF468D">
      <w:pPr>
        <w:pStyle w:val="base-text-paragraph"/>
      </w:pPr>
      <w:r>
        <w:t>If both the AMIT and the operator of the CCIV choose the restructure relief, then:</w:t>
      </w:r>
    </w:p>
    <w:p w14:paraId="252AD6FD" w14:textId="77777777" w:rsidR="00975CB6" w:rsidRDefault="00975CB6" w:rsidP="00975CB6">
      <w:pPr>
        <w:pStyle w:val="dotpoint"/>
      </w:pPr>
      <w:r>
        <w:t>any capital gain or capital loss that arises from CGT event A1 happening to the AMIT under the restructure is disregarded;</w:t>
      </w:r>
    </w:p>
    <w:p w14:paraId="0ADD6D6F" w14:textId="0CCE3F1F" w:rsidR="00975CB6" w:rsidRDefault="00975CB6" w:rsidP="00975CB6">
      <w:pPr>
        <w:pStyle w:val="dotpoint"/>
      </w:pPr>
      <w:r>
        <w:t>the first element of the cost base and reduced cost base for the CCIV of each CGT asset under the restructure is the same as the cost base and reduced cost base of that asset for the AMIT just before the restructure;</w:t>
      </w:r>
      <w:r w:rsidR="00566D07">
        <w:t xml:space="preserve"> and</w:t>
      </w:r>
    </w:p>
    <w:p w14:paraId="1AF8D205" w14:textId="7C8913DD" w:rsidR="00566D07" w:rsidRPr="00566D07" w:rsidRDefault="00975CB6" w:rsidP="00975CB6">
      <w:pPr>
        <w:pStyle w:val="dotpoint"/>
        <w:rPr>
          <w:rStyle w:val="Referencingstyle"/>
          <w:b w:val="0"/>
          <w:i w:val="0"/>
          <w:sz w:val="22"/>
        </w:rPr>
      </w:pPr>
      <w:proofErr w:type="gramStart"/>
      <w:r>
        <w:t>the</w:t>
      </w:r>
      <w:proofErr w:type="gramEnd"/>
      <w:r>
        <w:t xml:space="preserve"> CCIV will be taken to have acquired any pre</w:t>
      </w:r>
      <w:r>
        <w:noBreakHyphen/>
        <w:t>CGT assets held by the AMIT before 20 September 1985</w:t>
      </w:r>
      <w:r w:rsidR="00566D07">
        <w:t xml:space="preserve"> (unless CGT</w:t>
      </w:r>
      <w:r w:rsidR="00483432">
        <w:t> </w:t>
      </w:r>
      <w:r w:rsidR="00566D07">
        <w:t>even</w:t>
      </w:r>
      <w:r w:rsidR="00027AE0">
        <w:t>t</w:t>
      </w:r>
      <w:r w:rsidR="00566D07">
        <w:t xml:space="preserve"> J4 applies to the CCIV in relation to the asset</w:t>
      </w:r>
      <w:r w:rsidR="00483E25">
        <w:t>)</w:t>
      </w:r>
      <w:r w:rsidR="00483432">
        <w:t>.</w:t>
      </w:r>
    </w:p>
    <w:p w14:paraId="2877FEA8" w14:textId="5679BE79" w:rsidR="0016134B" w:rsidRDefault="000C0F66" w:rsidP="00566D07">
      <w:pPr>
        <w:pStyle w:val="base-text-paragraphnonumbers"/>
      </w:pPr>
      <w:r>
        <w:rPr>
          <w:rStyle w:val="Referencingstyle"/>
        </w:rPr>
        <w:t xml:space="preserve">[Schedule </w:t>
      </w:r>
      <w:r w:rsidR="00287B9C">
        <w:rPr>
          <w:rStyle w:val="Referencingstyle"/>
        </w:rPr>
        <w:t>6</w:t>
      </w:r>
      <w:r>
        <w:rPr>
          <w:rStyle w:val="Referencingstyle"/>
        </w:rPr>
        <w:t xml:space="preserve">, item </w:t>
      </w:r>
      <w:r w:rsidR="00E44A30">
        <w:rPr>
          <w:rStyle w:val="Referencingstyle"/>
        </w:rPr>
        <w:t>14</w:t>
      </w:r>
      <w:r>
        <w:rPr>
          <w:rStyle w:val="Referencingstyle"/>
        </w:rPr>
        <w:t xml:space="preserve">, </w:t>
      </w:r>
      <w:proofErr w:type="gramStart"/>
      <w:r>
        <w:rPr>
          <w:rStyle w:val="Referencingstyle"/>
        </w:rPr>
        <w:t>section</w:t>
      </w:r>
      <w:proofErr w:type="gramEnd"/>
      <w:r w:rsidR="009D795D">
        <w:rPr>
          <w:rStyle w:val="Referencingstyle"/>
        </w:rPr>
        <w:t xml:space="preserve"> 276</w:t>
      </w:r>
      <w:r>
        <w:rPr>
          <w:rStyle w:val="Referencingstyle"/>
        </w:rPr>
        <w:t>-476</w:t>
      </w:r>
      <w:r w:rsidRPr="0031531E">
        <w:rPr>
          <w:rStyle w:val="Referencingstyle"/>
        </w:rPr>
        <w:t>]</w:t>
      </w:r>
    </w:p>
    <w:p w14:paraId="222F2C66" w14:textId="20A98A4B" w:rsidR="00371666" w:rsidRPr="000260CA" w:rsidRDefault="00FC465F" w:rsidP="00EF468D">
      <w:pPr>
        <w:pStyle w:val="base-text-paragraph"/>
        <w:rPr>
          <w:rStyle w:val="Referencingstyle"/>
          <w:b w:val="0"/>
          <w:i w:val="0"/>
          <w:sz w:val="22"/>
        </w:rPr>
      </w:pPr>
      <w:r w:rsidDel="00566D07">
        <w:t>Consistent with the operation of Subdivision 124-N, CGT</w:t>
      </w:r>
      <w:r w:rsidR="00051F19">
        <w:t> </w:t>
      </w:r>
      <w:r w:rsidDel="00566D07">
        <w:t>event</w:t>
      </w:r>
      <w:r w:rsidR="00051F19">
        <w:t> </w:t>
      </w:r>
      <w:r w:rsidDel="00566D07">
        <w:t>J4 applies to a disposal of a CGT asset to a CCIV</w:t>
      </w:r>
      <w:r w:rsidR="00CF0641" w:rsidDel="00566D07">
        <w:t xml:space="preserve"> where the AMIT fails to cease to exist </w:t>
      </w:r>
      <w:r w:rsidR="001E5C5E" w:rsidDel="00566D07">
        <w:t xml:space="preserve">within 6 months </w:t>
      </w:r>
      <w:r w:rsidR="00CF0641" w:rsidDel="00566D07">
        <w:t xml:space="preserve">after the </w:t>
      </w:r>
      <w:r w:rsidR="001E5C5E" w:rsidDel="00566D07">
        <w:t xml:space="preserve">start of the AMIT </w:t>
      </w:r>
      <w:r w:rsidR="00CF0641">
        <w:t>restructure</w:t>
      </w:r>
      <w:r w:rsidR="001E5C5E" w:rsidDel="00566D07">
        <w:t xml:space="preserve"> period</w:t>
      </w:r>
      <w:r w:rsidDel="00566D07">
        <w:t xml:space="preserve">. </w:t>
      </w:r>
      <w:r w:rsidR="00B31A42" w:rsidDel="00566D07">
        <w:rPr>
          <w:rStyle w:val="Referencingstyle"/>
        </w:rPr>
        <w:t xml:space="preserve">[Schedule </w:t>
      </w:r>
      <w:r w:rsidR="00287B9C">
        <w:rPr>
          <w:rStyle w:val="Referencingstyle"/>
        </w:rPr>
        <w:t>6</w:t>
      </w:r>
      <w:r w:rsidR="00B31A42" w:rsidDel="00566D07">
        <w:rPr>
          <w:rStyle w:val="Referencingstyle"/>
        </w:rPr>
        <w:t>, item</w:t>
      </w:r>
      <w:r w:rsidR="00467DBF">
        <w:rPr>
          <w:rStyle w:val="Referencingstyle"/>
        </w:rPr>
        <w:t>s</w:t>
      </w:r>
      <w:r w:rsidR="00B31A42" w:rsidDel="00566D07">
        <w:rPr>
          <w:rStyle w:val="Referencingstyle"/>
        </w:rPr>
        <w:t xml:space="preserve"> </w:t>
      </w:r>
      <w:r w:rsidR="00287B9C">
        <w:rPr>
          <w:rStyle w:val="Referencingstyle"/>
        </w:rPr>
        <w:t>3</w:t>
      </w:r>
      <w:r w:rsidR="00467DBF">
        <w:rPr>
          <w:rStyle w:val="Referencingstyle"/>
        </w:rPr>
        <w:t xml:space="preserve"> and 4</w:t>
      </w:r>
      <w:r w:rsidR="00B31A42" w:rsidDel="00566D07">
        <w:rPr>
          <w:rStyle w:val="Referencingstyle"/>
        </w:rPr>
        <w:t xml:space="preserve">, </w:t>
      </w:r>
      <w:r w:rsidR="00CF0641" w:rsidDel="00566D07">
        <w:rPr>
          <w:rStyle w:val="Referencingstyle"/>
        </w:rPr>
        <w:t>table</w:t>
      </w:r>
      <w:r w:rsidR="00D636BE" w:rsidDel="00566D07">
        <w:rPr>
          <w:rStyle w:val="Referencingstyle"/>
        </w:rPr>
        <w:t xml:space="preserve"> in </w:t>
      </w:r>
      <w:r w:rsidR="00B31A42" w:rsidDel="00566D07">
        <w:rPr>
          <w:rStyle w:val="Referencingstyle"/>
        </w:rPr>
        <w:t xml:space="preserve">section </w:t>
      </w:r>
      <w:r w:rsidR="00D636BE" w:rsidDel="00566D07">
        <w:rPr>
          <w:rStyle w:val="Referencingstyle"/>
        </w:rPr>
        <w:t>112-45</w:t>
      </w:r>
      <w:r w:rsidR="00B31A42" w:rsidRPr="0031531E" w:rsidDel="00566D07">
        <w:rPr>
          <w:rStyle w:val="Referencingstyle"/>
        </w:rPr>
        <w:t>]</w:t>
      </w:r>
    </w:p>
    <w:p w14:paraId="240304A6" w14:textId="7800602E" w:rsidR="000260CA" w:rsidRDefault="000260CA" w:rsidP="000260CA">
      <w:pPr>
        <w:pStyle w:val="Heading4"/>
        <w:rPr>
          <w:rStyle w:val="Referencingstyle"/>
          <w:b/>
          <w:i/>
          <w:sz w:val="22"/>
        </w:rPr>
      </w:pPr>
      <w:r>
        <w:rPr>
          <w:rStyle w:val="Referencingstyle"/>
          <w:b/>
          <w:i/>
          <w:sz w:val="22"/>
        </w:rPr>
        <w:t xml:space="preserve">Depreciating assets </w:t>
      </w:r>
    </w:p>
    <w:p w14:paraId="73B7D273" w14:textId="215F86B8" w:rsidR="000260CA" w:rsidRPr="000260CA" w:rsidRDefault="00CD5453" w:rsidP="000260CA">
      <w:pPr>
        <w:pStyle w:val="base-text-paragraph"/>
      </w:pPr>
      <w:r>
        <w:t xml:space="preserve">Provided that the general </w:t>
      </w:r>
      <w:r w:rsidR="00672223">
        <w:t xml:space="preserve">requirements for </w:t>
      </w:r>
      <w:r>
        <w:t>depreciating asset roll</w:t>
      </w:r>
      <w:r w:rsidR="00672223">
        <w:t>-over relief</w:t>
      </w:r>
      <w:r>
        <w:t xml:space="preserve"> are satisfied, a</w:t>
      </w:r>
      <w:r w:rsidR="000260CA">
        <w:t>utomatic roll-over relief is provided for depreciating CGT assets under an AMIT restructure where both the AMIT and the CCIV choose to apply the restructure and after the disposal, the asset is refer</w:t>
      </w:r>
      <w:r>
        <w:t>able</w:t>
      </w:r>
      <w:r w:rsidR="000260CA">
        <w:t xml:space="preserve"> to the ASF. </w:t>
      </w:r>
      <w:r w:rsidDel="00566D07">
        <w:rPr>
          <w:rStyle w:val="Referencingstyle"/>
        </w:rPr>
        <w:t xml:space="preserve">[Schedule </w:t>
      </w:r>
      <w:r>
        <w:rPr>
          <w:rStyle w:val="Referencingstyle"/>
        </w:rPr>
        <w:t>6</w:t>
      </w:r>
      <w:r w:rsidDel="00566D07">
        <w:rPr>
          <w:rStyle w:val="Referencingstyle"/>
        </w:rPr>
        <w:t>, item</w:t>
      </w:r>
      <w:r>
        <w:rPr>
          <w:rStyle w:val="Referencingstyle"/>
        </w:rPr>
        <w:t xml:space="preserve"> 1</w:t>
      </w:r>
      <w:r w:rsidDel="00566D07">
        <w:rPr>
          <w:rStyle w:val="Referencingstyle"/>
        </w:rPr>
        <w:t>, tabl</w:t>
      </w:r>
      <w:r w:rsidR="00F11DFC">
        <w:rPr>
          <w:rStyle w:val="Referencingstyle"/>
        </w:rPr>
        <w:t>e</w:t>
      </w:r>
      <w:r>
        <w:rPr>
          <w:rStyle w:val="Referencingstyle"/>
        </w:rPr>
        <w:t xml:space="preserve"> item 2B in subsection</w:t>
      </w:r>
      <w:r w:rsidR="00051F19">
        <w:rPr>
          <w:rStyle w:val="Referencingstyle"/>
        </w:rPr>
        <w:t> </w:t>
      </w:r>
      <w:r>
        <w:rPr>
          <w:rStyle w:val="Referencingstyle"/>
        </w:rPr>
        <w:t>40</w:t>
      </w:r>
      <w:r w:rsidR="00051F19">
        <w:rPr>
          <w:rStyle w:val="Referencingstyle"/>
        </w:rPr>
        <w:noBreakHyphen/>
      </w:r>
      <w:r>
        <w:rPr>
          <w:rStyle w:val="Referencingstyle"/>
        </w:rPr>
        <w:t>340(1)</w:t>
      </w:r>
      <w:r w:rsidRPr="0031531E" w:rsidDel="00566D07">
        <w:rPr>
          <w:rStyle w:val="Referencingstyle"/>
        </w:rPr>
        <w:t>]</w:t>
      </w:r>
    </w:p>
    <w:p w14:paraId="59EB3317" w14:textId="61EF7A28" w:rsidR="004E787E" w:rsidRDefault="004E787E" w:rsidP="004E787E">
      <w:pPr>
        <w:pStyle w:val="Heading4"/>
      </w:pPr>
      <w:r>
        <w:t xml:space="preserve">Transferring revenue assets </w:t>
      </w:r>
    </w:p>
    <w:p w14:paraId="3B2E2A5F" w14:textId="5C95C8EA" w:rsidR="004E787E" w:rsidRDefault="00277ABE" w:rsidP="00943D7F">
      <w:pPr>
        <w:pStyle w:val="base-text-paragraph"/>
      </w:pPr>
      <w:r>
        <w:rPr>
          <w:szCs w:val="22"/>
        </w:rPr>
        <w:t>If both the AMIT and the operator of the CCIV choose the restructure relief</w:t>
      </w:r>
      <w:r>
        <w:t>, then</w:t>
      </w:r>
      <w:r w:rsidRPr="00CB766C" w:rsidDel="00277ABE">
        <w:t xml:space="preserve"> </w:t>
      </w:r>
      <w:r>
        <w:t xml:space="preserve">restructure relief will apply to any </w:t>
      </w:r>
      <w:r w:rsidR="00943D7F" w:rsidRPr="00943D7F">
        <w:t xml:space="preserve">revenue assets </w:t>
      </w:r>
      <w:r>
        <w:t>(as is defined in section 977</w:t>
      </w:r>
      <w:r>
        <w:noBreakHyphen/>
      </w:r>
      <w:r w:rsidRPr="00CB766C">
        <w:t>50</w:t>
      </w:r>
      <w:r>
        <w:t>) disposed of by the AMIT to the CCIV under the restructure</w:t>
      </w:r>
      <w:r w:rsidR="00943D7F" w:rsidRPr="00943D7F">
        <w:t>.</w:t>
      </w:r>
    </w:p>
    <w:p w14:paraId="4C42C589" w14:textId="261C23DA" w:rsidR="00943D7F" w:rsidRDefault="00277ABE" w:rsidP="00EF468D">
      <w:pPr>
        <w:pStyle w:val="base-text-paragraph"/>
      </w:pPr>
      <w:r>
        <w:t>In these circumstances, t</w:t>
      </w:r>
      <w:r w:rsidR="00943D7F">
        <w:t xml:space="preserve">he AMIT is taken to have disposed of the revenue asset to the CCIV for an amount that would result in the </w:t>
      </w:r>
      <w:r w:rsidR="00943D7F">
        <w:lastRenderedPageBreak/>
        <w:t>AMIT not making a profit or loss because of the disposal. This means that there is no effect on the AMIT’s taxable income.</w:t>
      </w:r>
      <w:r w:rsidR="00091E47">
        <w:t xml:space="preserve"> </w:t>
      </w:r>
      <w:r w:rsidR="00E44A30">
        <w:rPr>
          <w:rStyle w:val="Referencingstyle"/>
        </w:rPr>
        <w:t>[Schedule 6, item 14</w:t>
      </w:r>
      <w:r w:rsidR="00091E47">
        <w:rPr>
          <w:rStyle w:val="Referencingstyle"/>
        </w:rPr>
        <w:t>, paragraph 276-478(1)(a)</w:t>
      </w:r>
      <w:r w:rsidR="00091E47" w:rsidRPr="0031531E">
        <w:rPr>
          <w:rStyle w:val="Referencingstyle"/>
        </w:rPr>
        <w:t>]</w:t>
      </w:r>
    </w:p>
    <w:p w14:paraId="38A0FEBF" w14:textId="4E84D1CD" w:rsidR="00943D7F" w:rsidRDefault="00277ABE" w:rsidP="00943D7F">
      <w:pPr>
        <w:pStyle w:val="base-text-paragraph"/>
      </w:pPr>
      <w:r>
        <w:t>In addition, t</w:t>
      </w:r>
      <w:r w:rsidR="00943D7F">
        <w:t>he CCIV is taken to have paid the AMIT the amount to acquire the asset that resulted in that AMIT not making a profit or loss because of the disposal of the revenue asset. This amount is used by the CCIV to calc</w:t>
      </w:r>
      <w:r w:rsidR="005C0B60">
        <w:t xml:space="preserve">ulate future profits and losses on the subsequent disposal of the revenue asset. </w:t>
      </w:r>
      <w:r w:rsidR="00DA6C00">
        <w:rPr>
          <w:rStyle w:val="Referencingstyle"/>
        </w:rPr>
        <w:t>[Schedule 6, it</w:t>
      </w:r>
      <w:r w:rsidR="00E44A30">
        <w:rPr>
          <w:rStyle w:val="Referencingstyle"/>
        </w:rPr>
        <w:t>em 14</w:t>
      </w:r>
      <w:r>
        <w:rPr>
          <w:rStyle w:val="Referencingstyle"/>
        </w:rPr>
        <w:t>, paragraph 276</w:t>
      </w:r>
      <w:r>
        <w:rPr>
          <w:rStyle w:val="Referencingstyle"/>
        </w:rPr>
        <w:noBreakHyphen/>
      </w:r>
      <w:r w:rsidR="00091E47">
        <w:rPr>
          <w:rStyle w:val="Referencingstyle"/>
        </w:rPr>
        <w:t>478(1)(b)</w:t>
      </w:r>
      <w:r w:rsidR="00091E47" w:rsidRPr="0031531E">
        <w:rPr>
          <w:rStyle w:val="Referencingstyle"/>
        </w:rPr>
        <w:t>]</w:t>
      </w:r>
    </w:p>
    <w:p w14:paraId="59FEAC38" w14:textId="00E8FBC5" w:rsidR="00943D7F" w:rsidRPr="00397512" w:rsidRDefault="00943D7F" w:rsidP="007B7931">
      <w:pPr>
        <w:pStyle w:val="base-text-paragraph"/>
        <w:rPr>
          <w:rStyle w:val="Referencingstyle"/>
          <w:b w:val="0"/>
          <w:i w:val="0"/>
          <w:sz w:val="22"/>
        </w:rPr>
      </w:pPr>
      <w:r>
        <w:t>The roll-over for revenue assets also applies to realisations of revenue assets that involve ceasing to own the asset or realising it in another way besides a disposal. For the purpose of the revenue asset roll</w:t>
      </w:r>
      <w:r w:rsidR="00DE48F3">
        <w:noBreakHyphen/>
      </w:r>
      <w:r>
        <w:t>over, such realisations are treated as disposals and accordingly benefit from the same treatment as</w:t>
      </w:r>
      <w:r w:rsidR="00091E47">
        <w:t xml:space="preserve"> outlined above</w:t>
      </w:r>
      <w:r>
        <w:t>.</w:t>
      </w:r>
      <w:r w:rsidR="00091E47" w:rsidRPr="00091E47">
        <w:rPr>
          <w:rStyle w:val="Referencingstyle"/>
        </w:rPr>
        <w:t xml:space="preserve"> </w:t>
      </w:r>
      <w:r w:rsidR="00091E47">
        <w:rPr>
          <w:rStyle w:val="Referencingstyle"/>
        </w:rPr>
        <w:t>[Schedule</w:t>
      </w:r>
      <w:r w:rsidR="00277ABE">
        <w:rPr>
          <w:rStyle w:val="Referencingstyle"/>
        </w:rPr>
        <w:t> </w:t>
      </w:r>
      <w:r w:rsidR="00E44A30">
        <w:rPr>
          <w:rStyle w:val="Referencingstyle"/>
        </w:rPr>
        <w:t>6, item 14</w:t>
      </w:r>
      <w:r w:rsidR="00EF468D">
        <w:rPr>
          <w:rStyle w:val="Referencingstyle"/>
        </w:rPr>
        <w:t>, subsection </w:t>
      </w:r>
      <w:r w:rsidR="00091E47">
        <w:rPr>
          <w:rStyle w:val="Referencingstyle"/>
        </w:rPr>
        <w:t>276</w:t>
      </w:r>
      <w:r w:rsidR="00DE48F3">
        <w:rPr>
          <w:rStyle w:val="Referencingstyle"/>
        </w:rPr>
        <w:noBreakHyphen/>
      </w:r>
      <w:r w:rsidR="00091E47">
        <w:rPr>
          <w:rStyle w:val="Referencingstyle"/>
        </w:rPr>
        <w:t>478(2)</w:t>
      </w:r>
      <w:r w:rsidR="00091E47" w:rsidRPr="0031531E">
        <w:rPr>
          <w:rStyle w:val="Referencingstyle"/>
        </w:rPr>
        <w:t>]</w:t>
      </w:r>
    </w:p>
    <w:p w14:paraId="411FC8C6" w14:textId="585616FE" w:rsidR="00711A7B" w:rsidRDefault="00711A7B" w:rsidP="00711A7B">
      <w:pPr>
        <w:pStyle w:val="Heading4"/>
      </w:pPr>
      <w:r>
        <w:t>Transferring tax losses</w:t>
      </w:r>
    </w:p>
    <w:p w14:paraId="78A70A7A" w14:textId="25A63C3B" w:rsidR="0004289B" w:rsidRDefault="00711A7B" w:rsidP="00F6032B">
      <w:pPr>
        <w:pStyle w:val="base-text-paragraph"/>
      </w:pPr>
      <w:r>
        <w:t xml:space="preserve">The </w:t>
      </w:r>
      <w:r w:rsidR="00277ABE">
        <w:t>restructure relief</w:t>
      </w:r>
      <w:r>
        <w:t xml:space="preserve"> under </w:t>
      </w:r>
      <w:r w:rsidR="00277ABE">
        <w:t>Subdivision </w:t>
      </w:r>
      <w:r>
        <w:t>276-I also</w:t>
      </w:r>
      <w:r w:rsidR="0004289B">
        <w:t xml:space="preserve"> allow</w:t>
      </w:r>
      <w:r w:rsidR="00DA6C00">
        <w:t>s</w:t>
      </w:r>
      <w:r>
        <w:t xml:space="preserve"> </w:t>
      </w:r>
      <w:r w:rsidR="0004289B">
        <w:t xml:space="preserve">a restructuring </w:t>
      </w:r>
      <w:r>
        <w:t>AMIT to roll-over</w:t>
      </w:r>
      <w:r w:rsidR="0004289B">
        <w:t xml:space="preserve"> </w:t>
      </w:r>
      <w:r>
        <w:t>capital</w:t>
      </w:r>
      <w:r w:rsidR="0004289B">
        <w:t xml:space="preserve"> losses and revenue losses to the CCIV (referable to the ASF). The transfer of these losses prevents the value of the losses being extinguished upon the winding up of the restructuring AMIT and allows the value of the losses to be retained </w:t>
      </w:r>
      <w:r w:rsidR="00D74F4C">
        <w:t>by</w:t>
      </w:r>
      <w:r w:rsidR="0004289B">
        <w:t xml:space="preserve"> members. </w:t>
      </w:r>
    </w:p>
    <w:p w14:paraId="1C035C56" w14:textId="5998F239" w:rsidR="00711A7B" w:rsidRDefault="0004289B" w:rsidP="00F6032B">
      <w:pPr>
        <w:pStyle w:val="base-text-paragraph"/>
      </w:pPr>
      <w:r>
        <w:t>The losses that may be transferred</w:t>
      </w:r>
      <w:r w:rsidR="00290A0B">
        <w:t>, upon the restructuring AMIT ceasing to exist,</w:t>
      </w:r>
      <w:r>
        <w:t xml:space="preserve"> are capital losses and revenue losses r</w:t>
      </w:r>
      <w:r w:rsidR="005C0B60">
        <w:t xml:space="preserve">ealised before the restructure – </w:t>
      </w:r>
      <w:r>
        <w:t>spe</w:t>
      </w:r>
      <w:r w:rsidR="00CD4F84">
        <w:t xml:space="preserve">cifically: </w:t>
      </w:r>
    </w:p>
    <w:p w14:paraId="32ED3D2E" w14:textId="0BFA6A84" w:rsidR="00CD4F84" w:rsidRDefault="00CD4F84" w:rsidP="00CD4F84">
      <w:pPr>
        <w:pStyle w:val="dotpoint"/>
      </w:pPr>
      <w:r>
        <w:t xml:space="preserve">net capital losses for earlier income years than the transfer year to the extent that they were not utilised before the completion time; </w:t>
      </w:r>
    </w:p>
    <w:p w14:paraId="2C607878" w14:textId="3ACE378E" w:rsidR="00CD4F84" w:rsidRDefault="00CD4F84" w:rsidP="00CD4F84">
      <w:pPr>
        <w:pStyle w:val="dotpoint"/>
      </w:pPr>
      <w:r>
        <w:t xml:space="preserve">net capital losses for the transfer year, worked out as if the transfer year ended at the completion time; </w:t>
      </w:r>
    </w:p>
    <w:p w14:paraId="20D4FD8B" w14:textId="2EF0970E" w:rsidR="00CD4F84" w:rsidRDefault="00CD4F84" w:rsidP="00CD4F84">
      <w:pPr>
        <w:pStyle w:val="dotpoint"/>
      </w:pPr>
      <w:r>
        <w:t xml:space="preserve">tax losses for earlier income years than the transfer year to the extent that they were not utilised before the completion time; and </w:t>
      </w:r>
    </w:p>
    <w:p w14:paraId="3CA55D14" w14:textId="0CDB94EB" w:rsidR="00CD4F84" w:rsidRDefault="00CD4F84" w:rsidP="00CD4F84">
      <w:pPr>
        <w:pStyle w:val="dotpoint"/>
      </w:pPr>
      <w:proofErr w:type="gramStart"/>
      <w:r>
        <w:t>tax</w:t>
      </w:r>
      <w:proofErr w:type="gramEnd"/>
      <w:r>
        <w:t xml:space="preserve"> losses incurred for the transfer year, worked out as if the transfer year ended at the completion time. </w:t>
      </w:r>
    </w:p>
    <w:p w14:paraId="1FCC166E" w14:textId="00D8CF30" w:rsidR="00AE2B71" w:rsidRPr="00AE2B71" w:rsidRDefault="00E44A30" w:rsidP="00277ABE">
      <w:pPr>
        <w:pStyle w:val="base-text-paragraphnonumbers"/>
      </w:pPr>
      <w:r>
        <w:rPr>
          <w:rStyle w:val="Referencingstyle"/>
        </w:rPr>
        <w:t>[Schedule 6, item 14</w:t>
      </w:r>
      <w:r w:rsidR="00CD4F84">
        <w:rPr>
          <w:rStyle w:val="Referencingstyle"/>
        </w:rPr>
        <w:t>, subsections 276-480(1) and</w:t>
      </w:r>
      <w:r w:rsidR="00A036DB">
        <w:rPr>
          <w:rStyle w:val="Referencingstyle"/>
        </w:rPr>
        <w:t xml:space="preserve"> 276-482(1</w:t>
      </w:r>
      <w:r w:rsidR="00CD4F84">
        <w:rPr>
          <w:rStyle w:val="Referencingstyle"/>
        </w:rPr>
        <w:t>)</w:t>
      </w:r>
      <w:r w:rsidR="00CD4F84" w:rsidRPr="0031531E">
        <w:rPr>
          <w:rStyle w:val="Referencingstyle"/>
        </w:rPr>
        <w:t>]</w:t>
      </w:r>
    </w:p>
    <w:p w14:paraId="38DB1357" w14:textId="1428271D" w:rsidR="0004289B" w:rsidRDefault="00AE2B71" w:rsidP="00AE2B71">
      <w:pPr>
        <w:pStyle w:val="Heading5"/>
      </w:pPr>
      <w:r>
        <w:t>Effect of transferring a capital loss</w:t>
      </w:r>
    </w:p>
    <w:p w14:paraId="75749294" w14:textId="766EA482" w:rsidR="00AE2B71" w:rsidRPr="00AE2B71" w:rsidRDefault="00AE2B71" w:rsidP="00F6032B">
      <w:pPr>
        <w:pStyle w:val="base-text-paragraph"/>
      </w:pPr>
      <w:r>
        <w:t xml:space="preserve">The previously realised net capital loss for an income year that is not the transfer year will be taken, if it is transferred, not to have been made by the AMIT and an amount equal to the loss will be taken to have been made by the CCIV for that income year. </w:t>
      </w:r>
      <w:r w:rsidR="00A036DB">
        <w:rPr>
          <w:rStyle w:val="Referencingstyle"/>
        </w:rPr>
        <w:t>[Schedule 6, item 8</w:t>
      </w:r>
      <w:r>
        <w:rPr>
          <w:rStyle w:val="Referencingstyle"/>
        </w:rPr>
        <w:t>, subsection</w:t>
      </w:r>
      <w:r w:rsidR="00DE48F3">
        <w:rPr>
          <w:rStyle w:val="Referencingstyle"/>
        </w:rPr>
        <w:t> </w:t>
      </w:r>
      <w:r>
        <w:rPr>
          <w:rStyle w:val="Referencingstyle"/>
        </w:rPr>
        <w:t>276-480(2)]</w:t>
      </w:r>
    </w:p>
    <w:p w14:paraId="071372CC" w14:textId="6BE9128C" w:rsidR="004E787E" w:rsidRPr="00397512" w:rsidRDefault="00AE2B71" w:rsidP="00F6032B">
      <w:pPr>
        <w:pStyle w:val="base-text-paragraph"/>
        <w:rPr>
          <w:rStyle w:val="Referencingstyle"/>
          <w:b w:val="0"/>
          <w:i w:val="0"/>
          <w:sz w:val="22"/>
        </w:rPr>
      </w:pPr>
      <w:r>
        <w:lastRenderedPageBreak/>
        <w:t>The AMIT can</w:t>
      </w:r>
      <w:r w:rsidR="004E4A65">
        <w:t xml:space="preserve"> transfer net capital losses fro</w:t>
      </w:r>
      <w:r>
        <w:t xml:space="preserve">m the transfer income year to the CCIV by reducing these capital losses by the amount transferred. </w:t>
      </w:r>
      <w:r w:rsidR="004E4A65">
        <w:t>As a result, the AMIT’</w:t>
      </w:r>
      <w:r>
        <w:t>s</w:t>
      </w:r>
      <w:r w:rsidR="004E4A65">
        <w:t xml:space="preserve"> total</w:t>
      </w:r>
      <w:r>
        <w:t xml:space="preserve"> capital losses are reduced by the amount transferred to the CCIV and the transferred amount of net capital losses from the transfer income y</w:t>
      </w:r>
      <w:r w:rsidR="004E4A65">
        <w:t>e</w:t>
      </w:r>
      <w:r>
        <w:t>ar is take</w:t>
      </w:r>
      <w:r w:rsidR="004E4A65">
        <w:t xml:space="preserve">n to be a capital loss made by the CCIV for the transfer year. </w:t>
      </w:r>
      <w:r w:rsidR="00E44A30">
        <w:rPr>
          <w:rStyle w:val="Referencingstyle"/>
        </w:rPr>
        <w:t>[Schedule 6, item 14</w:t>
      </w:r>
      <w:r w:rsidR="004E4A65">
        <w:rPr>
          <w:rStyle w:val="Referencingstyle"/>
        </w:rPr>
        <w:t>, subsection 276-480(3)]</w:t>
      </w:r>
    </w:p>
    <w:p w14:paraId="1027A4F3" w14:textId="38C32374" w:rsidR="004E787E" w:rsidRDefault="004E4A65" w:rsidP="004E4A65">
      <w:pPr>
        <w:pStyle w:val="Heading5"/>
      </w:pPr>
      <w:r>
        <w:t xml:space="preserve">Effect of transferring tax losses </w:t>
      </w:r>
    </w:p>
    <w:p w14:paraId="68E88BC2" w14:textId="39447416" w:rsidR="004E787E" w:rsidRPr="0070505E" w:rsidRDefault="0070505E" w:rsidP="004E787E">
      <w:pPr>
        <w:pStyle w:val="base-text-paragraph"/>
        <w:rPr>
          <w:rStyle w:val="Referencingstyle"/>
          <w:b w:val="0"/>
          <w:i w:val="0"/>
          <w:sz w:val="22"/>
        </w:rPr>
      </w:pPr>
      <w:r>
        <w:t xml:space="preserve">Similar to capital losses, an </w:t>
      </w:r>
      <w:r w:rsidR="00D7434F">
        <w:t xml:space="preserve">AMIT can transfer </w:t>
      </w:r>
      <w:r>
        <w:t>earlier year tax loss</w:t>
      </w:r>
      <w:r w:rsidR="00D7434F">
        <w:t>es</w:t>
      </w:r>
      <w:r>
        <w:t xml:space="preserve"> </w:t>
      </w:r>
      <w:r w:rsidR="00D7434F">
        <w:t>that have not been utilised before the completion time</w:t>
      </w:r>
      <w:r>
        <w:t xml:space="preserve"> to the CCIV </w:t>
      </w:r>
      <w:r w:rsidR="00D7434F">
        <w:t>(including</w:t>
      </w:r>
      <w:r>
        <w:t xml:space="preserve"> a </w:t>
      </w:r>
      <w:r w:rsidR="00D7434F">
        <w:t xml:space="preserve">loss that </w:t>
      </w:r>
      <w:r>
        <w:t xml:space="preserve">the AMIT </w:t>
      </w:r>
      <w:r w:rsidR="00D7434F">
        <w:t>would</w:t>
      </w:r>
      <w:r>
        <w:t xml:space="preserve"> have incurred </w:t>
      </w:r>
      <w:r w:rsidR="00D7434F">
        <w:t xml:space="preserve">in </w:t>
      </w:r>
      <w:r>
        <w:t xml:space="preserve">the </w:t>
      </w:r>
      <w:r w:rsidR="00D7434F">
        <w:t xml:space="preserve">transfer </w:t>
      </w:r>
      <w:r>
        <w:t xml:space="preserve">year </w:t>
      </w:r>
      <w:r w:rsidR="00D7434F">
        <w:t>assuming that</w:t>
      </w:r>
      <w:r>
        <w:t xml:space="preserve"> the </w:t>
      </w:r>
      <w:r w:rsidR="00D7434F">
        <w:t>transfer year ended at</w:t>
      </w:r>
      <w:r>
        <w:t xml:space="preserve"> the </w:t>
      </w:r>
      <w:r w:rsidR="00D7434F">
        <w:t>completion time)</w:t>
      </w:r>
      <w:r>
        <w:t>.</w:t>
      </w:r>
      <w:r w:rsidRPr="0070505E">
        <w:rPr>
          <w:rStyle w:val="Referencingstyle"/>
        </w:rPr>
        <w:t xml:space="preserve"> </w:t>
      </w:r>
      <w:r w:rsidR="00E44A30">
        <w:rPr>
          <w:rStyle w:val="Referencingstyle"/>
        </w:rPr>
        <w:t>[Schedule 6, item 14</w:t>
      </w:r>
      <w:r>
        <w:rPr>
          <w:rStyle w:val="Referencingstyle"/>
        </w:rPr>
        <w:t>, subsection 276-482(</w:t>
      </w:r>
      <w:r w:rsidR="00D7434F">
        <w:rPr>
          <w:rStyle w:val="Referencingstyle"/>
        </w:rPr>
        <w:t>1</w:t>
      </w:r>
      <w:r>
        <w:rPr>
          <w:rStyle w:val="Referencingstyle"/>
        </w:rPr>
        <w:t>)]</w:t>
      </w:r>
    </w:p>
    <w:p w14:paraId="09684DDB" w14:textId="77777777" w:rsidR="00D7434F" w:rsidRDefault="00D7434F" w:rsidP="004E787E">
      <w:pPr>
        <w:pStyle w:val="base-text-paragraph"/>
      </w:pPr>
      <w:r>
        <w:t>To the extent that an earlier year</w:t>
      </w:r>
      <w:r w:rsidR="0070505E">
        <w:t xml:space="preserve"> </w:t>
      </w:r>
      <w:r>
        <w:t xml:space="preserve">tax loss is </w:t>
      </w:r>
      <w:r w:rsidR="0070505E">
        <w:t>transferred to the CCIV</w:t>
      </w:r>
      <w:r>
        <w:t>:</w:t>
      </w:r>
    </w:p>
    <w:p w14:paraId="5AA32AC6" w14:textId="77777777" w:rsidR="00D7434F" w:rsidRDefault="00D7434F" w:rsidP="00D7434F">
      <w:pPr>
        <w:pStyle w:val="dotpoint"/>
      </w:pPr>
      <w:r>
        <w:t>the AMIT will be taken not to have incurred the loss for that earlier income year;</w:t>
      </w:r>
    </w:p>
    <w:p w14:paraId="2C3F526C" w14:textId="611DE1D2" w:rsidR="00F700E0" w:rsidRDefault="00F700E0" w:rsidP="00D7434F">
      <w:pPr>
        <w:pStyle w:val="dotpoint"/>
      </w:pPr>
      <w:r>
        <w:t>for the purposes of applying section 36</w:t>
      </w:r>
      <w:r>
        <w:noBreakHyphen/>
        <w:t xml:space="preserve">15, </w:t>
      </w:r>
      <w:r w:rsidR="00D7434F">
        <w:t xml:space="preserve">an amount equal to the transferred amount is taken to be a tax loss incurred by the CCIV </w:t>
      </w:r>
      <w:r>
        <w:t>(rather than the AMIT) for the income year immediately before the transfer year;</w:t>
      </w:r>
    </w:p>
    <w:p w14:paraId="01E36D01" w14:textId="27C8D44F" w:rsidR="00F700E0" w:rsidRDefault="00F700E0" w:rsidP="00D7434F">
      <w:pPr>
        <w:pStyle w:val="dotpoint"/>
      </w:pPr>
      <w:r>
        <w:t>for the purposes of applying the continuity of ownership test, the ownership period or the test period for the CCIV is taken to start at the start of the earlier income year in which the AMIT incurred the loss</w:t>
      </w:r>
      <w:r w:rsidR="005C0B60">
        <w:t xml:space="preserve"> – as a consequence, the AMIT will need to give relevant ownership information to the CCIV</w:t>
      </w:r>
      <w:r>
        <w:t>;</w:t>
      </w:r>
      <w:r w:rsidR="0070505E">
        <w:t xml:space="preserve"> and</w:t>
      </w:r>
    </w:p>
    <w:p w14:paraId="07125E36" w14:textId="77777777" w:rsidR="00F700E0" w:rsidRDefault="00F700E0" w:rsidP="00D7434F">
      <w:pPr>
        <w:pStyle w:val="dotpoint"/>
      </w:pPr>
      <w:proofErr w:type="gramStart"/>
      <w:r>
        <w:t>for</w:t>
      </w:r>
      <w:proofErr w:type="gramEnd"/>
      <w:r>
        <w:t xml:space="preserve"> all other purposes, an amount equal to the transferred amount is taken to be a tax loss incurred by the CCIV (rather than the AMIT) for the transfer year.</w:t>
      </w:r>
    </w:p>
    <w:p w14:paraId="12919B39" w14:textId="1C2050D2" w:rsidR="00F700E0" w:rsidRDefault="00E44A30" w:rsidP="00F700E0">
      <w:pPr>
        <w:pStyle w:val="base-text-paragraphnonumbers"/>
      </w:pPr>
      <w:r>
        <w:rPr>
          <w:rStyle w:val="Referencingstyle"/>
        </w:rPr>
        <w:t>[Schedule 6, item 14</w:t>
      </w:r>
      <w:r w:rsidR="00F700E0">
        <w:rPr>
          <w:rStyle w:val="Referencingstyle"/>
        </w:rPr>
        <w:t xml:space="preserve">, </w:t>
      </w:r>
      <w:proofErr w:type="gramStart"/>
      <w:r w:rsidR="00F700E0">
        <w:rPr>
          <w:rStyle w:val="Referencingstyle"/>
        </w:rPr>
        <w:t>subsection 276-482(2</w:t>
      </w:r>
      <w:proofErr w:type="gramEnd"/>
      <w:r w:rsidR="00F700E0">
        <w:rPr>
          <w:rStyle w:val="Referencingstyle"/>
        </w:rPr>
        <w:t>)]</w:t>
      </w:r>
    </w:p>
    <w:p w14:paraId="67C1E280" w14:textId="77777777" w:rsidR="00F700E0" w:rsidRDefault="00F700E0" w:rsidP="004E787E">
      <w:pPr>
        <w:pStyle w:val="base-text-paragraph"/>
      </w:pPr>
      <w:r>
        <w:t>In addition, to the extent that a tax loss which arises in the transfer year is transferred to a CCIV:</w:t>
      </w:r>
    </w:p>
    <w:p w14:paraId="2BB2B398" w14:textId="525FED5A" w:rsidR="00F700E0" w:rsidRDefault="00B60A80" w:rsidP="00F700E0">
      <w:pPr>
        <w:pStyle w:val="dotpoint"/>
      </w:pPr>
      <w:r>
        <w:t>the AMIT must reduce its</w:t>
      </w:r>
      <w:r w:rsidR="0070505E">
        <w:t xml:space="preserve"> transfer year deductions by an amount equal to the transferred amount</w:t>
      </w:r>
      <w:r w:rsidR="00F700E0">
        <w:t>; and</w:t>
      </w:r>
    </w:p>
    <w:p w14:paraId="389FEED8" w14:textId="77777777" w:rsidR="00F700E0" w:rsidRDefault="00F700E0" w:rsidP="00F700E0">
      <w:pPr>
        <w:pStyle w:val="dotpoint"/>
      </w:pPr>
      <w:proofErr w:type="gramStart"/>
      <w:r>
        <w:t>a</w:t>
      </w:r>
      <w:r w:rsidR="0070505E">
        <w:t>n</w:t>
      </w:r>
      <w:proofErr w:type="gramEnd"/>
      <w:r w:rsidR="0070505E">
        <w:t xml:space="preserve"> amount equal to the transferred amount is taken to be a tax loss </w:t>
      </w:r>
      <w:r>
        <w:t>incurred by</w:t>
      </w:r>
      <w:r w:rsidR="0070505E">
        <w:t xml:space="preserve"> the CCIV for the transfer year.</w:t>
      </w:r>
    </w:p>
    <w:p w14:paraId="7659E18B" w14:textId="02F4CE25" w:rsidR="0070505E" w:rsidRPr="00CC1D97" w:rsidRDefault="00E44A30" w:rsidP="00F700E0">
      <w:pPr>
        <w:pStyle w:val="base-text-paragraphnonumbers"/>
        <w:rPr>
          <w:rStyle w:val="Referencingstyle"/>
          <w:b w:val="0"/>
          <w:i w:val="0"/>
          <w:sz w:val="22"/>
        </w:rPr>
      </w:pPr>
      <w:r>
        <w:rPr>
          <w:rStyle w:val="Referencingstyle"/>
        </w:rPr>
        <w:t>[Schedule 6, item 14</w:t>
      </w:r>
      <w:r w:rsidR="00B26BCA">
        <w:rPr>
          <w:rStyle w:val="Referencingstyle"/>
        </w:rPr>
        <w:t>, subsection 276</w:t>
      </w:r>
      <w:r w:rsidR="00B26BCA">
        <w:rPr>
          <w:rStyle w:val="Referencingstyle"/>
        </w:rPr>
        <w:noBreakHyphen/>
      </w:r>
      <w:proofErr w:type="gramStart"/>
      <w:r w:rsidR="0070505E">
        <w:rPr>
          <w:rStyle w:val="Referencingstyle"/>
        </w:rPr>
        <w:t>482</w:t>
      </w:r>
      <w:r w:rsidR="00B26BCA">
        <w:rPr>
          <w:rStyle w:val="Referencingstyle"/>
        </w:rPr>
        <w:t>(</w:t>
      </w:r>
      <w:proofErr w:type="gramEnd"/>
      <w:r w:rsidR="00B26BCA">
        <w:rPr>
          <w:rStyle w:val="Referencingstyle"/>
        </w:rPr>
        <w:t>3)</w:t>
      </w:r>
      <w:r w:rsidR="0070505E">
        <w:rPr>
          <w:rStyle w:val="Referencingstyle"/>
        </w:rPr>
        <w:t>]</w:t>
      </w:r>
    </w:p>
    <w:p w14:paraId="252C2FB3" w14:textId="1F06A03B" w:rsidR="004E787E" w:rsidRDefault="0043139F" w:rsidP="004140FF">
      <w:pPr>
        <w:pStyle w:val="Heading4"/>
      </w:pPr>
      <w:proofErr w:type="spellStart"/>
      <w:r>
        <w:t>U</w:t>
      </w:r>
      <w:r w:rsidR="004140FF">
        <w:t>nders</w:t>
      </w:r>
      <w:proofErr w:type="spellEnd"/>
      <w:r w:rsidR="004140FF">
        <w:t xml:space="preserve"> and overs </w:t>
      </w:r>
    </w:p>
    <w:p w14:paraId="523E4710" w14:textId="67BB5DC6" w:rsidR="00E23862" w:rsidRPr="00E23862" w:rsidRDefault="0043139F" w:rsidP="004140FF">
      <w:pPr>
        <w:pStyle w:val="base-text-paragraph"/>
      </w:pPr>
      <w:r>
        <w:rPr>
          <w:szCs w:val="22"/>
        </w:rPr>
        <w:t xml:space="preserve">If </w:t>
      </w:r>
      <w:r w:rsidR="00EB7D46">
        <w:rPr>
          <w:szCs w:val="22"/>
        </w:rPr>
        <w:t>an</w:t>
      </w:r>
      <w:r>
        <w:rPr>
          <w:szCs w:val="22"/>
        </w:rPr>
        <w:t xml:space="preserve"> AMIT </w:t>
      </w:r>
      <w:r w:rsidR="00EB7D46">
        <w:rPr>
          <w:szCs w:val="22"/>
        </w:rPr>
        <w:t>restructures and becomes the sub-fund of a CCIV</w:t>
      </w:r>
      <w:r>
        <w:rPr>
          <w:szCs w:val="22"/>
        </w:rPr>
        <w:t xml:space="preserve">, then </w:t>
      </w:r>
      <w:r w:rsidR="00E23862">
        <w:rPr>
          <w:szCs w:val="22"/>
        </w:rPr>
        <w:t xml:space="preserve">an under or over of a particular character may arise </w:t>
      </w:r>
      <w:r w:rsidR="00EB7D46">
        <w:rPr>
          <w:szCs w:val="22"/>
        </w:rPr>
        <w:t xml:space="preserve">in relation to an </w:t>
      </w:r>
      <w:r w:rsidR="00EB7D46">
        <w:rPr>
          <w:szCs w:val="22"/>
        </w:rPr>
        <w:lastRenderedPageBreak/>
        <w:t xml:space="preserve">income year </w:t>
      </w:r>
      <w:r w:rsidR="00E23862">
        <w:rPr>
          <w:szCs w:val="22"/>
        </w:rPr>
        <w:t xml:space="preserve">after the time of the restructure </w:t>
      </w:r>
      <w:r w:rsidR="00EB7D46">
        <w:rPr>
          <w:szCs w:val="22"/>
        </w:rPr>
        <w:t xml:space="preserve">(the discovery year) </w:t>
      </w:r>
      <w:r w:rsidR="00E23862">
        <w:rPr>
          <w:szCs w:val="22"/>
        </w:rPr>
        <w:t>in relation to an income year that is prior to the restructure (the base year).</w:t>
      </w:r>
    </w:p>
    <w:p w14:paraId="1D48D540" w14:textId="4B6E3462" w:rsidR="004140FF" w:rsidRDefault="00EB7D46" w:rsidP="004140FF">
      <w:pPr>
        <w:pStyle w:val="base-text-paragraph"/>
      </w:pPr>
      <w:r>
        <w:rPr>
          <w:szCs w:val="22"/>
        </w:rPr>
        <w:t>If both the AMIT and the operator of the CCIV choose the restructure relief, then</w:t>
      </w:r>
      <w:r w:rsidR="00E23862">
        <w:rPr>
          <w:szCs w:val="22"/>
        </w:rPr>
        <w:t xml:space="preserve"> </w:t>
      </w:r>
      <w:r>
        <w:rPr>
          <w:szCs w:val="22"/>
        </w:rPr>
        <w:t>the sub-fund of a CCIV</w:t>
      </w:r>
      <w:r w:rsidR="00E23862">
        <w:rPr>
          <w:szCs w:val="22"/>
        </w:rPr>
        <w:t xml:space="preserve"> will be able to be recognise</w:t>
      </w:r>
      <w:r>
        <w:rPr>
          <w:szCs w:val="22"/>
        </w:rPr>
        <w:t xml:space="preserve"> the under or over in the discovery year. </w:t>
      </w:r>
      <w:r w:rsidR="00300A4F">
        <w:rPr>
          <w:rStyle w:val="Referencingstyle"/>
        </w:rPr>
        <w:t>[Schedule 6</w:t>
      </w:r>
      <w:r w:rsidR="00A625C7">
        <w:rPr>
          <w:rStyle w:val="Referencingstyle"/>
        </w:rPr>
        <w:t>, item</w:t>
      </w:r>
      <w:r w:rsidR="00E44A30">
        <w:rPr>
          <w:rStyle w:val="Referencingstyle"/>
        </w:rPr>
        <w:t xml:space="preserve"> 14</w:t>
      </w:r>
      <w:r w:rsidR="00A625C7">
        <w:rPr>
          <w:rStyle w:val="Referencingstyle"/>
        </w:rPr>
        <w:t>, section 276-484]</w:t>
      </w:r>
    </w:p>
    <w:p w14:paraId="513D8F35" w14:textId="1CD04C22" w:rsidR="004140FF" w:rsidRDefault="00F4114B" w:rsidP="004140FF">
      <w:pPr>
        <w:pStyle w:val="Heading4"/>
      </w:pPr>
      <w:r>
        <w:t xml:space="preserve">Carrying over </w:t>
      </w:r>
      <w:r w:rsidR="004140FF">
        <w:t xml:space="preserve">choices and elections </w:t>
      </w:r>
    </w:p>
    <w:p w14:paraId="6BD46CC1" w14:textId="5B9ECD71" w:rsidR="004140FF" w:rsidRDefault="00BA2E99" w:rsidP="00F6032B">
      <w:pPr>
        <w:pStyle w:val="base-text-paragraph"/>
      </w:pPr>
      <w:r>
        <w:t xml:space="preserve">A choice or election made by the AMIT under a taxation law before the AMIT ceases to exist under the restructure will be taken to be a choice or election made by the CCIV in relation to the ASF to which the AMIT restructure relates. </w:t>
      </w:r>
      <w:r w:rsidR="00E44A30">
        <w:rPr>
          <w:rStyle w:val="Referencingstyle"/>
        </w:rPr>
        <w:t>[Schedule 6, item 14</w:t>
      </w:r>
      <w:r w:rsidR="00277ABE">
        <w:rPr>
          <w:rStyle w:val="Referencingstyle"/>
        </w:rPr>
        <w:t>, section 276</w:t>
      </w:r>
      <w:r w:rsidR="00277ABE">
        <w:rPr>
          <w:rStyle w:val="Referencingstyle"/>
        </w:rPr>
        <w:noBreakHyphen/>
      </w:r>
      <w:r>
        <w:rPr>
          <w:rStyle w:val="Referencingstyle"/>
        </w:rPr>
        <w:t>486]</w:t>
      </w:r>
    </w:p>
    <w:p w14:paraId="56544945" w14:textId="49F63AD9" w:rsidR="00BA2E99" w:rsidRPr="00C2711F" w:rsidRDefault="00BA2E99" w:rsidP="00F6032B">
      <w:pPr>
        <w:pStyle w:val="base-text-paragraph"/>
        <w:rPr>
          <w:rStyle w:val="Referencingstyle"/>
          <w:b w:val="0"/>
          <w:i w:val="0"/>
          <w:sz w:val="22"/>
        </w:rPr>
      </w:pPr>
      <w:r>
        <w:t>The choice or election made by the CCIV will also be taken to have been made at the start of the income year in which the AMIT restructuring period begins.</w:t>
      </w:r>
      <w:r w:rsidRPr="00BA2E99">
        <w:rPr>
          <w:rStyle w:val="Referencingstyle"/>
        </w:rPr>
        <w:t xml:space="preserve"> </w:t>
      </w:r>
      <w:r w:rsidR="00E44A30">
        <w:rPr>
          <w:rStyle w:val="Referencingstyle"/>
        </w:rPr>
        <w:t>[Schedule 6, item 14</w:t>
      </w:r>
      <w:r>
        <w:rPr>
          <w:rStyle w:val="Referencingstyle"/>
        </w:rPr>
        <w:t>, section 276-486]</w:t>
      </w:r>
    </w:p>
    <w:p w14:paraId="516F4767" w14:textId="77777777" w:rsidR="00F04808" w:rsidRDefault="00F04808" w:rsidP="00F04808">
      <w:pPr>
        <w:pStyle w:val="Heading3"/>
      </w:pPr>
      <w:r>
        <w:t>CCIVs interaction with GST</w:t>
      </w:r>
    </w:p>
    <w:p w14:paraId="35130DBD" w14:textId="52B6E781" w:rsidR="00F04808" w:rsidRDefault="00F04808" w:rsidP="00F04808">
      <w:pPr>
        <w:pStyle w:val="base-text-paragraph"/>
        <w:numPr>
          <w:ilvl w:val="1"/>
          <w:numId w:val="54"/>
        </w:numPr>
      </w:pPr>
      <w:r>
        <w:t xml:space="preserve">The provisions of a taxation law, in relation to ascertaining the existence or extent, under a taxation law (which includes the GST Act), of an obligation (including a liability) or entitlement of the CCIV, apply as if the CCIV were a separate company in relation to each sub-fund. </w:t>
      </w:r>
      <w:r w:rsidRPr="00BF3D02">
        <w:rPr>
          <w:rStyle w:val="Referencingstyle"/>
        </w:rPr>
        <w:t>[Schedule</w:t>
      </w:r>
      <w:r>
        <w:rPr>
          <w:rStyle w:val="Referencingstyle"/>
        </w:rPr>
        <w:t> 3</w:t>
      </w:r>
      <w:r w:rsidRPr="00BF3D02">
        <w:rPr>
          <w:rStyle w:val="Referencingstyle"/>
        </w:rPr>
        <w:t>, item</w:t>
      </w:r>
      <w:r>
        <w:rPr>
          <w:rStyle w:val="Referencingstyle"/>
        </w:rPr>
        <w:t xml:space="preserve"> 1</w:t>
      </w:r>
      <w:r w:rsidRPr="00BF3D02">
        <w:rPr>
          <w:rStyle w:val="Referencingstyle"/>
        </w:rPr>
        <w:t xml:space="preserve">, </w:t>
      </w:r>
      <w:r w:rsidR="005C0B60">
        <w:rPr>
          <w:rStyle w:val="Referencingstyle"/>
        </w:rPr>
        <w:t>section</w:t>
      </w:r>
      <w:r>
        <w:rPr>
          <w:rStyle w:val="Referencingstyle"/>
        </w:rPr>
        <w:t> 195</w:t>
      </w:r>
      <w:r w:rsidRPr="00BF3D02">
        <w:rPr>
          <w:rStyle w:val="Referencingstyle"/>
        </w:rPr>
        <w:noBreakHyphen/>
      </w:r>
      <w:r w:rsidR="005C0B60">
        <w:rPr>
          <w:rStyle w:val="Referencingstyle"/>
        </w:rPr>
        <w:t>105</w:t>
      </w:r>
      <w:r w:rsidRPr="00BF3D02">
        <w:rPr>
          <w:rStyle w:val="Referencingstyle"/>
        </w:rPr>
        <w:t>]</w:t>
      </w:r>
    </w:p>
    <w:p w14:paraId="3702E4E7" w14:textId="64980067" w:rsidR="00F04808" w:rsidRDefault="00F04808" w:rsidP="00F04808">
      <w:pPr>
        <w:pStyle w:val="base-text-paragraph"/>
      </w:pPr>
      <w:r>
        <w:t>To determine whether the CCIV is required to be registered for GST in r</w:t>
      </w:r>
      <w:r w:rsidR="005C0B60">
        <w:t>elation to a particular CCIV sub-fund company</w:t>
      </w:r>
      <w:r>
        <w:t xml:space="preserve">, the CCIV would separately ascertain the GST turnover in relation to that </w:t>
      </w:r>
      <w:r w:rsidR="005C0B60">
        <w:t xml:space="preserve">CCIV </w:t>
      </w:r>
      <w:r>
        <w:t>sub-fund</w:t>
      </w:r>
      <w:r w:rsidR="005C0B60">
        <w:t xml:space="preserve"> company</w:t>
      </w:r>
      <w:r>
        <w:t xml:space="preserve">. Where more than one </w:t>
      </w:r>
      <w:r w:rsidR="005C0B60">
        <w:t xml:space="preserve">CCIV </w:t>
      </w:r>
      <w:r>
        <w:t xml:space="preserve">sub-fund </w:t>
      </w:r>
      <w:r w:rsidR="005C0B60">
        <w:t>company</w:t>
      </w:r>
      <w:r>
        <w:t xml:space="preserve"> is required to be registered for GST, the CCIV will register in relation to each relevant </w:t>
      </w:r>
      <w:r w:rsidR="005C0B60">
        <w:t xml:space="preserve">CCIV </w:t>
      </w:r>
      <w:r>
        <w:t>sub-fund</w:t>
      </w:r>
      <w:r w:rsidR="005C0B60">
        <w:t xml:space="preserve"> company</w:t>
      </w:r>
      <w:r>
        <w:t>.</w:t>
      </w:r>
    </w:p>
    <w:p w14:paraId="4F31895F" w14:textId="77777777" w:rsidR="0016134B" w:rsidRPr="00BF3D02" w:rsidRDefault="0016134B" w:rsidP="0016134B">
      <w:pPr>
        <w:pStyle w:val="Heading2"/>
      </w:pPr>
      <w:r w:rsidRPr="00BF3D02">
        <w:t>Consequential amendments</w:t>
      </w:r>
    </w:p>
    <w:p w14:paraId="0DB25562" w14:textId="38C8B5F2" w:rsidR="00006B24" w:rsidRDefault="00006B24" w:rsidP="00006B24">
      <w:pPr>
        <w:pStyle w:val="Heading4"/>
      </w:pPr>
      <w:r>
        <w:t>Amounts paid by a CCIV are not dividends</w:t>
      </w:r>
    </w:p>
    <w:p w14:paraId="3A6FF07B" w14:textId="2287D0C2" w:rsidR="0016134B" w:rsidRDefault="0016134B" w:rsidP="0016134B">
      <w:pPr>
        <w:pStyle w:val="base-text-paragraph"/>
        <w:numPr>
          <w:ilvl w:val="1"/>
          <w:numId w:val="44"/>
        </w:numPr>
      </w:pPr>
      <w:r>
        <w:t>A</w:t>
      </w:r>
      <w:r w:rsidRPr="00130D7B">
        <w:t xml:space="preserve">mounts derived or received by </w:t>
      </w:r>
      <w:r w:rsidR="00006B24">
        <w:t>an ASF of a</w:t>
      </w:r>
      <w:r w:rsidR="00ED5861">
        <w:t xml:space="preserve"> </w:t>
      </w:r>
      <w:r>
        <w:t>CCIV</w:t>
      </w:r>
      <w:r w:rsidRPr="00130D7B">
        <w:t xml:space="preserve"> that are a</w:t>
      </w:r>
      <w:r>
        <w:t xml:space="preserve">ttributed to members retain their original </w:t>
      </w:r>
      <w:r w:rsidRPr="00130D7B">
        <w:t>character</w:t>
      </w:r>
      <w:r>
        <w:t xml:space="preserve"> and therefore will not be </w:t>
      </w:r>
      <w:r w:rsidR="00ED5861">
        <w:t xml:space="preserve">treated as a dividend </w:t>
      </w:r>
      <w:r w:rsidR="00006B24">
        <w:t xml:space="preserve">paid by </w:t>
      </w:r>
      <w:r>
        <w:t>CCIV</w:t>
      </w:r>
      <w:r w:rsidR="00006B24">
        <w:t xml:space="preserve"> (including</w:t>
      </w:r>
      <w:r>
        <w:t xml:space="preserve"> for the purposes of applying Australia’s double tax agreements</w:t>
      </w:r>
      <w:r w:rsidR="00006B24">
        <w:t>)</w:t>
      </w:r>
      <w:r>
        <w:t>.</w:t>
      </w:r>
      <w:r w:rsidRPr="00BA0C81">
        <w:rPr>
          <w:rStyle w:val="Referencingstyle"/>
        </w:rPr>
        <w:t xml:space="preserve"> </w:t>
      </w:r>
      <w:r w:rsidRPr="00BF3D02">
        <w:rPr>
          <w:rStyle w:val="Referencingstyle"/>
        </w:rPr>
        <w:t>[Schedule</w:t>
      </w:r>
      <w:r w:rsidR="00D7777B">
        <w:rPr>
          <w:rStyle w:val="Referencingstyle"/>
        </w:rPr>
        <w:t xml:space="preserve"> </w:t>
      </w:r>
      <w:r w:rsidRPr="00BF3D02">
        <w:rPr>
          <w:rStyle w:val="Referencingstyle"/>
        </w:rPr>
        <w:t xml:space="preserve"> </w:t>
      </w:r>
      <w:r w:rsidR="00D7777B">
        <w:rPr>
          <w:rStyle w:val="Referencingstyle"/>
        </w:rPr>
        <w:t>9</w:t>
      </w:r>
      <w:r w:rsidRPr="00BF3D02">
        <w:rPr>
          <w:rStyle w:val="Referencingstyle"/>
        </w:rPr>
        <w:t xml:space="preserve">, </w:t>
      </w:r>
      <w:r>
        <w:rPr>
          <w:rStyle w:val="Referencingstyle"/>
        </w:rPr>
        <w:t xml:space="preserve">items </w:t>
      </w:r>
      <w:r w:rsidR="00D7777B">
        <w:rPr>
          <w:rStyle w:val="Referencingstyle"/>
        </w:rPr>
        <w:t>4</w:t>
      </w:r>
      <w:r>
        <w:rPr>
          <w:rStyle w:val="Referencingstyle"/>
        </w:rPr>
        <w:t xml:space="preserve"> and </w:t>
      </w:r>
      <w:r w:rsidR="00D7777B">
        <w:rPr>
          <w:rStyle w:val="Referencingstyle"/>
        </w:rPr>
        <w:t>26</w:t>
      </w:r>
      <w:r>
        <w:rPr>
          <w:rStyle w:val="Referencingstyle"/>
        </w:rPr>
        <w:t>,</w:t>
      </w:r>
      <w:r w:rsidR="005C0B60">
        <w:rPr>
          <w:rStyle w:val="Referencingstyle"/>
        </w:rPr>
        <w:t xml:space="preserve"> definition of ‘dividend’ in</w:t>
      </w:r>
      <w:r>
        <w:rPr>
          <w:rStyle w:val="Referencingstyle"/>
        </w:rPr>
        <w:t xml:space="preserve"> </w:t>
      </w:r>
      <w:r w:rsidRPr="00BA0C81">
        <w:rPr>
          <w:rStyle w:val="Referencingstyle"/>
        </w:rPr>
        <w:t>su</w:t>
      </w:r>
      <w:r>
        <w:rPr>
          <w:rStyle w:val="Referencingstyle"/>
        </w:rPr>
        <w:t>bsection 6(1) of the ITAA 1936 and subsection 3(2B) of the International Tax Agreements Act 1953</w:t>
      </w:r>
      <w:r w:rsidRPr="00BF3D02">
        <w:rPr>
          <w:rStyle w:val="Referencingstyle"/>
        </w:rPr>
        <w:t>]</w:t>
      </w:r>
    </w:p>
    <w:p w14:paraId="736978E5" w14:textId="1AA1FFEE" w:rsidR="0016134B" w:rsidRDefault="00ED5861" w:rsidP="0016134B">
      <w:pPr>
        <w:pStyle w:val="base-text-paragraph"/>
        <w:numPr>
          <w:ilvl w:val="1"/>
          <w:numId w:val="44"/>
        </w:numPr>
      </w:pPr>
      <w:r>
        <w:t xml:space="preserve">Where the </w:t>
      </w:r>
      <w:r w:rsidR="0016134B">
        <w:t xml:space="preserve">CCIV holds assets </w:t>
      </w:r>
      <w:r w:rsidR="00006B24">
        <w:t xml:space="preserve">in an ASF </w:t>
      </w:r>
      <w:r w:rsidR="0016134B">
        <w:t>that are shares which pay franked dividends, both the dividend and the franking credit will retain their char</w:t>
      </w:r>
      <w:r>
        <w:t xml:space="preserve">acter as they flow through the </w:t>
      </w:r>
      <w:r w:rsidR="00006B24">
        <w:t>ASF</w:t>
      </w:r>
      <w:r w:rsidR="0016134B">
        <w:t xml:space="preserve"> to the member.</w:t>
      </w:r>
      <w:r w:rsidR="0016134B" w:rsidRPr="00BA0C81">
        <w:rPr>
          <w:rStyle w:val="Referencingstyle"/>
        </w:rPr>
        <w:t xml:space="preserve"> </w:t>
      </w:r>
      <w:r w:rsidR="0016134B">
        <w:rPr>
          <w:rStyle w:val="Referencingstyle"/>
        </w:rPr>
        <w:t xml:space="preserve">[Schedule </w:t>
      </w:r>
      <w:r w:rsidR="00D7777B">
        <w:rPr>
          <w:rStyle w:val="Referencingstyle"/>
        </w:rPr>
        <w:t>9</w:t>
      </w:r>
      <w:r w:rsidR="00D06AE9">
        <w:rPr>
          <w:rStyle w:val="Referencingstyle"/>
        </w:rPr>
        <w:t>,</w:t>
      </w:r>
      <w:r w:rsidR="0016134B">
        <w:rPr>
          <w:rStyle w:val="Referencingstyle"/>
        </w:rPr>
        <w:t xml:space="preserve"> item</w:t>
      </w:r>
      <w:r w:rsidR="00D7777B">
        <w:rPr>
          <w:rStyle w:val="Referencingstyle"/>
        </w:rPr>
        <w:t> 4</w:t>
      </w:r>
      <w:r w:rsidR="0016134B" w:rsidRPr="00BA0C81">
        <w:rPr>
          <w:rStyle w:val="Referencingstyle"/>
        </w:rPr>
        <w:t>, su</w:t>
      </w:r>
      <w:r w:rsidR="0016134B">
        <w:rPr>
          <w:rStyle w:val="Referencingstyle"/>
        </w:rPr>
        <w:t>bsection 6(1) of the ITAA 1936]</w:t>
      </w:r>
    </w:p>
    <w:p w14:paraId="31EF4F26" w14:textId="019A15B3" w:rsidR="00006B24" w:rsidRDefault="00006B24" w:rsidP="00006B24">
      <w:pPr>
        <w:pStyle w:val="Heading4"/>
      </w:pPr>
      <w:r>
        <w:lastRenderedPageBreak/>
        <w:t>Interactions with the consolidation regime</w:t>
      </w:r>
    </w:p>
    <w:p w14:paraId="304FDDB5" w14:textId="5DC4FDB9" w:rsidR="0016134B" w:rsidRDefault="00006B24" w:rsidP="0016134B">
      <w:pPr>
        <w:pStyle w:val="base-text-paragraph"/>
        <w:numPr>
          <w:ilvl w:val="1"/>
          <w:numId w:val="44"/>
        </w:numPr>
      </w:pPr>
      <w:r>
        <w:t>Given that CCIVs are tax</w:t>
      </w:r>
      <w:r w:rsidR="003C5F51">
        <w:t>ed</w:t>
      </w:r>
      <w:r>
        <w:t xml:space="preserve"> as flow</w:t>
      </w:r>
      <w:r>
        <w:noBreakHyphen/>
        <w:t>through entities,</w:t>
      </w:r>
      <w:r w:rsidR="0016134B">
        <w:t xml:space="preserve"> a company that is a CCIV cannot be a member of a consolidated group</w:t>
      </w:r>
      <w:r w:rsidR="0066581B">
        <w:t xml:space="preserve"> or a multiple entry</w:t>
      </w:r>
      <w:r w:rsidR="0066581B" w:rsidRPr="0066581B">
        <w:t xml:space="preserve"> </w:t>
      </w:r>
      <w:r w:rsidR="0066581B">
        <w:t>consolidated group</w:t>
      </w:r>
      <w:r w:rsidR="0016134B">
        <w:t xml:space="preserve">. </w:t>
      </w:r>
      <w:r w:rsidR="0016134B">
        <w:rPr>
          <w:rStyle w:val="Referencingstyle"/>
        </w:rPr>
        <w:t>[Schedule </w:t>
      </w:r>
      <w:r w:rsidR="00D7777B">
        <w:rPr>
          <w:rStyle w:val="Referencingstyle"/>
        </w:rPr>
        <w:t>9</w:t>
      </w:r>
      <w:r w:rsidR="0016134B" w:rsidRPr="00BF3D02">
        <w:rPr>
          <w:rStyle w:val="Referencingstyle"/>
        </w:rPr>
        <w:t xml:space="preserve">, </w:t>
      </w:r>
      <w:r w:rsidR="0016134B">
        <w:rPr>
          <w:rStyle w:val="Referencingstyle"/>
        </w:rPr>
        <w:t xml:space="preserve">item </w:t>
      </w:r>
      <w:r w:rsidR="00D7777B">
        <w:rPr>
          <w:rStyle w:val="Referencingstyle"/>
        </w:rPr>
        <w:t>23</w:t>
      </w:r>
      <w:r w:rsidR="0016134B">
        <w:rPr>
          <w:rStyle w:val="Referencingstyle"/>
        </w:rPr>
        <w:t>,</w:t>
      </w:r>
      <w:r w:rsidR="0066581B">
        <w:rPr>
          <w:rStyle w:val="Referencingstyle"/>
        </w:rPr>
        <w:t xml:space="preserve"> table item 4 in subsection 703</w:t>
      </w:r>
      <w:r w:rsidR="0066581B">
        <w:rPr>
          <w:rStyle w:val="Referencingstyle"/>
        </w:rPr>
        <w:noBreakHyphen/>
      </w:r>
      <w:r w:rsidR="0016134B">
        <w:rPr>
          <w:rStyle w:val="Referencingstyle"/>
        </w:rPr>
        <w:t>20(2)]</w:t>
      </w:r>
    </w:p>
    <w:p w14:paraId="4D2B9E95" w14:textId="201C6ED6" w:rsidR="00006B24" w:rsidRDefault="00006B24" w:rsidP="00006B24">
      <w:pPr>
        <w:pStyle w:val="Heading4"/>
      </w:pPr>
      <w:r>
        <w:t xml:space="preserve">Interactions with the AMIT technical amendments </w:t>
      </w:r>
    </w:p>
    <w:p w14:paraId="0A3890AF" w14:textId="741A93FE" w:rsidR="00593800" w:rsidRDefault="003C5F51" w:rsidP="00E10892">
      <w:pPr>
        <w:pStyle w:val="base-text-paragraph"/>
        <w:numPr>
          <w:ilvl w:val="1"/>
          <w:numId w:val="7"/>
        </w:numPr>
      </w:pPr>
      <w:r>
        <w:t>Schedule 13 to the Exposure Draft Bill amends provisions</w:t>
      </w:r>
      <w:r w:rsidR="00006B24">
        <w:t xml:space="preserve"> in t</w:t>
      </w:r>
      <w:r w:rsidR="00006B24" w:rsidRPr="00C42F91">
        <w:t xml:space="preserve">his </w:t>
      </w:r>
      <w:r w:rsidR="00006B24">
        <w:t xml:space="preserve">Exposure Draft </w:t>
      </w:r>
      <w:r w:rsidR="00006B24" w:rsidRPr="00C42F91">
        <w:t>Bill</w:t>
      </w:r>
      <w:r w:rsidR="00006B24">
        <w:t xml:space="preserve"> to account for the amendments made in Schedule 1 of the Treasury Laws Amendment (2018 Measures No.</w:t>
      </w:r>
      <w:r w:rsidR="00C02490">
        <w:t xml:space="preserve"> </w:t>
      </w:r>
      <w:r w:rsidR="00006B24">
        <w:t>5) Bill 2018</w:t>
      </w:r>
      <w:r>
        <w:t xml:space="preserve"> (</w:t>
      </w:r>
      <w:r w:rsidR="00006B24">
        <w:t>AMIT technical amendments</w:t>
      </w:r>
      <w:r w:rsidR="00593800">
        <w:t>)</w:t>
      </w:r>
      <w:r w:rsidR="00006B24">
        <w:t xml:space="preserve">. </w:t>
      </w:r>
      <w:r w:rsidR="00593800" w:rsidRPr="00BF3D02">
        <w:rPr>
          <w:rStyle w:val="Referencingstyle"/>
        </w:rPr>
        <w:t xml:space="preserve">[Schedule </w:t>
      </w:r>
      <w:r w:rsidR="00D7777B">
        <w:rPr>
          <w:rStyle w:val="Referencingstyle"/>
        </w:rPr>
        <w:t>12</w:t>
      </w:r>
      <w:r w:rsidR="00593800">
        <w:rPr>
          <w:rStyle w:val="Referencingstyle"/>
        </w:rPr>
        <w:t>]</w:t>
      </w:r>
    </w:p>
    <w:p w14:paraId="1D6F86A2" w14:textId="318A7E62" w:rsidR="00006B24" w:rsidRPr="009A595A" w:rsidRDefault="00006B24" w:rsidP="00E10892">
      <w:pPr>
        <w:pStyle w:val="base-text-paragraph"/>
        <w:numPr>
          <w:ilvl w:val="1"/>
          <w:numId w:val="7"/>
        </w:numPr>
      </w:pPr>
      <w:r>
        <w:t>These amendments are contingent on the passage of the Treasury Laws Amendment (2018 Measures No.</w:t>
      </w:r>
      <w:r w:rsidR="00C02490">
        <w:t xml:space="preserve"> </w:t>
      </w:r>
      <w:r>
        <w:t>5) Bill 2018.</w:t>
      </w:r>
      <w:r w:rsidRPr="008B457F">
        <w:rPr>
          <w:rStyle w:val="Referencingstyle"/>
        </w:rPr>
        <w:t xml:space="preserve"> </w:t>
      </w:r>
    </w:p>
    <w:p w14:paraId="037D50D9" w14:textId="6ED06E7D" w:rsidR="00006B24" w:rsidRDefault="00006B24" w:rsidP="00006B24">
      <w:pPr>
        <w:pStyle w:val="Heading4"/>
      </w:pPr>
      <w:r>
        <w:t>Other technical amendments</w:t>
      </w:r>
    </w:p>
    <w:p w14:paraId="02F92D9E" w14:textId="3C17CAB8" w:rsidR="0016134B" w:rsidRPr="001D00FE" w:rsidRDefault="0016134B" w:rsidP="0016134B">
      <w:pPr>
        <w:pStyle w:val="base-text-paragraph"/>
        <w:numPr>
          <w:ilvl w:val="1"/>
          <w:numId w:val="44"/>
        </w:numPr>
        <w:rPr>
          <w:rStyle w:val="Referencingstyle"/>
          <w:b w:val="0"/>
          <w:i w:val="0"/>
          <w:sz w:val="22"/>
        </w:rPr>
      </w:pPr>
      <w:r>
        <w:t>Schedule</w:t>
      </w:r>
      <w:r w:rsidR="00F95044">
        <w:t> 9</w:t>
      </w:r>
      <w:r w:rsidR="00560199">
        <w:t xml:space="preserve"> to the Exposure Draft Bill</w:t>
      </w:r>
      <w:r>
        <w:t xml:space="preserve"> makes a number of minor consequential amendments to the I</w:t>
      </w:r>
      <w:r w:rsidR="00483E25">
        <w:t>TAA 1936, ITAA 1997 and the TAA </w:t>
      </w:r>
      <w:r>
        <w:t xml:space="preserve">1953 to reflect the principal amendments, including updating guidance material. </w:t>
      </w:r>
      <w:r>
        <w:rPr>
          <w:rStyle w:val="Referencingstyle"/>
        </w:rPr>
        <w:t>[Schedule </w:t>
      </w:r>
      <w:r w:rsidR="00F95044">
        <w:rPr>
          <w:rStyle w:val="Referencingstyle"/>
        </w:rPr>
        <w:t>9</w:t>
      </w:r>
      <w:r w:rsidRPr="00BF3D02">
        <w:rPr>
          <w:rStyle w:val="Referencingstyle"/>
        </w:rPr>
        <w:t xml:space="preserve">, </w:t>
      </w:r>
      <w:r w:rsidR="00F95044">
        <w:rPr>
          <w:rStyle w:val="Referencingstyle"/>
        </w:rPr>
        <w:t>items 8</w:t>
      </w:r>
      <w:r>
        <w:rPr>
          <w:rStyle w:val="Referencingstyle"/>
        </w:rPr>
        <w:t xml:space="preserve"> to </w:t>
      </w:r>
      <w:r w:rsidR="00C02490">
        <w:rPr>
          <w:rStyle w:val="Referencingstyle"/>
        </w:rPr>
        <w:t>16, 21, 22</w:t>
      </w:r>
      <w:r>
        <w:rPr>
          <w:rStyle w:val="Referencingstyle"/>
        </w:rPr>
        <w:t xml:space="preserve"> and </w:t>
      </w:r>
      <w:r w:rsidR="00267F2F">
        <w:rPr>
          <w:rStyle w:val="Referencingstyle"/>
        </w:rPr>
        <w:t>27</w:t>
      </w:r>
      <w:r>
        <w:rPr>
          <w:rStyle w:val="Referencingstyle"/>
        </w:rPr>
        <w:t xml:space="preserve"> to </w:t>
      </w:r>
      <w:r w:rsidR="00267F2F">
        <w:rPr>
          <w:rStyle w:val="Referencingstyle"/>
        </w:rPr>
        <w:t>44</w:t>
      </w:r>
      <w:r>
        <w:rPr>
          <w:rStyle w:val="Referencingstyle"/>
        </w:rPr>
        <w:t>, sections</w:t>
      </w:r>
      <w:r w:rsidR="00C02490">
        <w:rPr>
          <w:rStyle w:val="Referencingstyle"/>
        </w:rPr>
        <w:t xml:space="preserve"> 170, 251S and 255 </w:t>
      </w:r>
      <w:r>
        <w:rPr>
          <w:rStyle w:val="Referencingstyle"/>
        </w:rPr>
        <w:t>of the ITAA 1936, sections 11</w:t>
      </w:r>
      <w:r>
        <w:rPr>
          <w:rStyle w:val="Referencingstyle"/>
        </w:rPr>
        <w:noBreakHyphen/>
      </w:r>
      <w:r w:rsidRPr="00230341">
        <w:rPr>
          <w:rStyle w:val="Referencingstyle"/>
        </w:rPr>
        <w:t>55</w:t>
      </w:r>
      <w:r>
        <w:rPr>
          <w:rStyle w:val="Referencingstyle"/>
        </w:rPr>
        <w:t>, 13</w:t>
      </w:r>
      <w:r>
        <w:rPr>
          <w:rStyle w:val="Referencingstyle"/>
        </w:rPr>
        <w:noBreakHyphen/>
        <w:t xml:space="preserve">1, </w:t>
      </w:r>
      <w:r w:rsidRPr="00230341">
        <w:rPr>
          <w:rStyle w:val="Referencingstyle"/>
        </w:rPr>
        <w:t>6</w:t>
      </w:r>
      <w:r>
        <w:rPr>
          <w:rStyle w:val="Referencingstyle"/>
        </w:rPr>
        <w:t>7</w:t>
      </w:r>
      <w:r>
        <w:rPr>
          <w:rStyle w:val="Referencingstyle"/>
        </w:rPr>
        <w:noBreakHyphen/>
      </w:r>
      <w:r w:rsidRPr="00230341">
        <w:rPr>
          <w:rStyle w:val="Referencingstyle"/>
        </w:rPr>
        <w:t>23, 112-46</w:t>
      </w:r>
      <w:r w:rsidR="00267F2F">
        <w:rPr>
          <w:rStyle w:val="Referencingstyle"/>
        </w:rPr>
        <w:t xml:space="preserve"> and 276-80</w:t>
      </w:r>
      <w:r w:rsidR="00267F2F" w:rsidRPr="00230341">
        <w:rPr>
          <w:rStyle w:val="Referencingstyle"/>
        </w:rPr>
        <w:t xml:space="preserve"> </w:t>
      </w:r>
      <w:r>
        <w:rPr>
          <w:rStyle w:val="Referencingstyle"/>
        </w:rPr>
        <w:t xml:space="preserve">of </w:t>
      </w:r>
      <w:r w:rsidRPr="00230341">
        <w:rPr>
          <w:rStyle w:val="Referencingstyle"/>
        </w:rPr>
        <w:t>the ITAA</w:t>
      </w:r>
      <w:r w:rsidR="00D06AE9">
        <w:rPr>
          <w:rStyle w:val="Referencingstyle"/>
        </w:rPr>
        <w:t> </w:t>
      </w:r>
      <w:r w:rsidRPr="00230341">
        <w:rPr>
          <w:rStyle w:val="Referencingstyle"/>
        </w:rPr>
        <w:t xml:space="preserve">1997, </w:t>
      </w:r>
      <w:r>
        <w:rPr>
          <w:rStyle w:val="Referencingstyle"/>
        </w:rPr>
        <w:t>s</w:t>
      </w:r>
      <w:r w:rsidRPr="00230341">
        <w:rPr>
          <w:rStyle w:val="Referencingstyle"/>
        </w:rPr>
        <w:t>ection</w:t>
      </w:r>
      <w:r>
        <w:rPr>
          <w:rStyle w:val="Referencingstyle"/>
        </w:rPr>
        <w:t>s</w:t>
      </w:r>
      <w:r w:rsidRPr="00230341">
        <w:rPr>
          <w:rStyle w:val="Referencingstyle"/>
        </w:rPr>
        <w:t xml:space="preserve"> 10-5, </w:t>
      </w:r>
      <w:r>
        <w:rPr>
          <w:rStyle w:val="Referencingstyle"/>
        </w:rPr>
        <w:t>12</w:t>
      </w:r>
      <w:r>
        <w:rPr>
          <w:rStyle w:val="Referencingstyle"/>
        </w:rPr>
        <w:noBreakHyphen/>
      </w:r>
      <w:r w:rsidRPr="00230341">
        <w:rPr>
          <w:rStyle w:val="Referencingstyle"/>
        </w:rPr>
        <w:t>5, 15-15</w:t>
      </w:r>
      <w:r>
        <w:rPr>
          <w:rStyle w:val="Referencingstyle"/>
        </w:rPr>
        <w:t>,</w:t>
      </w:r>
      <w:r w:rsidRPr="00230341">
        <w:rPr>
          <w:rStyle w:val="Referencingstyle"/>
        </w:rPr>
        <w:t xml:space="preserve"> 16-153, 16-157, 16-170</w:t>
      </w:r>
      <w:r>
        <w:rPr>
          <w:rStyle w:val="Referencingstyle"/>
        </w:rPr>
        <w:t>,</w:t>
      </w:r>
      <w:r w:rsidRPr="00230341">
        <w:rPr>
          <w:rStyle w:val="Referencingstyle"/>
        </w:rPr>
        <w:t xml:space="preserve"> 16-195</w:t>
      </w:r>
      <w:r>
        <w:rPr>
          <w:rStyle w:val="Referencingstyle"/>
        </w:rPr>
        <w:t>,</w:t>
      </w:r>
      <w:r w:rsidRPr="00230341">
        <w:rPr>
          <w:rStyle w:val="Referencingstyle"/>
        </w:rPr>
        <w:t xml:space="preserve"> 18-10</w:t>
      </w:r>
      <w:r>
        <w:rPr>
          <w:rStyle w:val="Referencingstyle"/>
        </w:rPr>
        <w:t>,</w:t>
      </w:r>
      <w:r w:rsidRPr="00230341">
        <w:rPr>
          <w:rStyle w:val="Referencingstyle"/>
        </w:rPr>
        <w:t xml:space="preserve"> 18-3</w:t>
      </w:r>
      <w:r>
        <w:rPr>
          <w:rStyle w:val="Referencingstyle"/>
        </w:rPr>
        <w:t>0, 18</w:t>
      </w:r>
      <w:r w:rsidR="00D06AE9">
        <w:rPr>
          <w:rStyle w:val="Referencingstyle"/>
        </w:rPr>
        <w:noBreakHyphen/>
      </w:r>
      <w:r>
        <w:rPr>
          <w:rStyle w:val="Referencingstyle"/>
        </w:rPr>
        <w:t xml:space="preserve">65, </w:t>
      </w:r>
      <w:r w:rsidRPr="00230341">
        <w:rPr>
          <w:rStyle w:val="Referencingstyle"/>
        </w:rPr>
        <w:t>18-70</w:t>
      </w:r>
      <w:r>
        <w:rPr>
          <w:rStyle w:val="Referencingstyle"/>
        </w:rPr>
        <w:t>, and 288-115 in Schedule </w:t>
      </w:r>
      <w:r w:rsidRPr="00230341">
        <w:rPr>
          <w:rStyle w:val="Referencingstyle"/>
        </w:rPr>
        <w:t>1 to the TAA 1953]</w:t>
      </w:r>
    </w:p>
    <w:p w14:paraId="00B28BA8" w14:textId="10E2F428" w:rsidR="00BD178F" w:rsidRPr="00BD178F" w:rsidRDefault="00BD178F" w:rsidP="0016134B">
      <w:pPr>
        <w:pStyle w:val="base-text-paragraph"/>
        <w:numPr>
          <w:ilvl w:val="1"/>
          <w:numId w:val="7"/>
        </w:numPr>
        <w:rPr>
          <w:rStyle w:val="Referencingstyle"/>
          <w:b w:val="0"/>
          <w:i w:val="0"/>
          <w:sz w:val="22"/>
        </w:rPr>
      </w:pPr>
      <w:r>
        <w:t xml:space="preserve">Schedule 10 to the Exposure Draft Bill also makes a number of minor consequential amendments, including the addition of a CCIV as a specified widely held entity. </w:t>
      </w:r>
      <w:r w:rsidR="00EC5903">
        <w:t xml:space="preserve">Further, where a CCIV sub-fund company invests in a unit trust, it is deemed that </w:t>
      </w:r>
      <w:r w:rsidR="00BD3DA8">
        <w:t>t</w:t>
      </w:r>
      <w:r w:rsidR="00EC5903">
        <w:t xml:space="preserve">hose units in the unit trust are held by the shareholders of the CCIV referable to that sub-fund. </w:t>
      </w:r>
      <w:r w:rsidR="00815567">
        <w:rPr>
          <w:rStyle w:val="Referencingstyle"/>
        </w:rPr>
        <w:t>[Schedule 9</w:t>
      </w:r>
      <w:r w:rsidRPr="00BF3D02">
        <w:rPr>
          <w:rStyle w:val="Referencingstyle"/>
        </w:rPr>
        <w:t xml:space="preserve">, </w:t>
      </w:r>
      <w:r>
        <w:rPr>
          <w:rStyle w:val="Referencingstyle"/>
        </w:rPr>
        <w:t>item</w:t>
      </w:r>
      <w:r w:rsidR="00815567">
        <w:rPr>
          <w:rStyle w:val="Referencingstyle"/>
        </w:rPr>
        <w:t>s 7</w:t>
      </w:r>
      <w:r w:rsidR="00EC5903">
        <w:rPr>
          <w:rStyle w:val="Referencingstyle"/>
        </w:rPr>
        <w:t xml:space="preserve"> and</w:t>
      </w:r>
      <w:r w:rsidR="00815567">
        <w:rPr>
          <w:rStyle w:val="Referencingstyle"/>
        </w:rPr>
        <w:t xml:space="preserve"> 20</w:t>
      </w:r>
      <w:r>
        <w:rPr>
          <w:rStyle w:val="Referencingstyle"/>
        </w:rPr>
        <w:t xml:space="preserve">, </w:t>
      </w:r>
      <w:r w:rsidR="00EC5903">
        <w:rPr>
          <w:rStyle w:val="Referencingstyle"/>
        </w:rPr>
        <w:t xml:space="preserve">subsection 102P(10B) of the ITAA 1936 and </w:t>
      </w:r>
      <w:r>
        <w:rPr>
          <w:rStyle w:val="Referencingstyle"/>
        </w:rPr>
        <w:t>paragraph 275-20(4)(</w:t>
      </w:r>
      <w:proofErr w:type="spellStart"/>
      <w:r>
        <w:rPr>
          <w:rStyle w:val="Referencingstyle"/>
        </w:rPr>
        <w:t>ea</w:t>
      </w:r>
      <w:proofErr w:type="spellEnd"/>
      <w:r>
        <w:rPr>
          <w:rStyle w:val="Referencingstyle"/>
        </w:rPr>
        <w:t>)]</w:t>
      </w:r>
    </w:p>
    <w:p w14:paraId="2C57B71A" w14:textId="669B7FE9" w:rsidR="0016134B" w:rsidRPr="001D00FE" w:rsidRDefault="0016134B" w:rsidP="0016134B">
      <w:pPr>
        <w:pStyle w:val="base-text-paragraph"/>
        <w:numPr>
          <w:ilvl w:val="1"/>
          <w:numId w:val="44"/>
        </w:numPr>
        <w:rPr>
          <w:rStyle w:val="Referencingstyle"/>
          <w:b w:val="0"/>
          <w:i w:val="0"/>
          <w:sz w:val="22"/>
        </w:rPr>
      </w:pPr>
      <w:r>
        <w:t>Schedule</w:t>
      </w:r>
      <w:r w:rsidR="00767B90">
        <w:t> 12</w:t>
      </w:r>
      <w:r w:rsidR="00560199">
        <w:t xml:space="preserve"> to </w:t>
      </w:r>
      <w:r>
        <w:t xml:space="preserve">the </w:t>
      </w:r>
      <w:r w:rsidR="00560199">
        <w:t xml:space="preserve">Exposure Draft Bill </w:t>
      </w:r>
      <w:r>
        <w:t xml:space="preserve">updates the definitions in the ITAA 1936 and ITAA 1997. </w:t>
      </w:r>
      <w:r w:rsidR="00815567">
        <w:rPr>
          <w:rStyle w:val="Referencingstyle"/>
        </w:rPr>
        <w:t>[Schedule 11</w:t>
      </w:r>
      <w:r w:rsidRPr="00BF3D02">
        <w:rPr>
          <w:rStyle w:val="Referencingstyle"/>
        </w:rPr>
        <w:t xml:space="preserve">, </w:t>
      </w:r>
      <w:r>
        <w:rPr>
          <w:rStyle w:val="Referencingstyle"/>
        </w:rPr>
        <w:t xml:space="preserve">items </w:t>
      </w:r>
      <w:r w:rsidR="000775FE">
        <w:rPr>
          <w:rStyle w:val="Referencingstyle"/>
        </w:rPr>
        <w:t>1</w:t>
      </w:r>
      <w:r>
        <w:rPr>
          <w:rStyle w:val="Referencingstyle"/>
        </w:rPr>
        <w:t xml:space="preserve"> to </w:t>
      </w:r>
      <w:r w:rsidR="000775FE">
        <w:rPr>
          <w:rStyle w:val="Referencingstyle"/>
        </w:rPr>
        <w:t>25</w:t>
      </w:r>
      <w:r>
        <w:rPr>
          <w:rStyle w:val="Referencingstyle"/>
        </w:rPr>
        <w:t>, definitions of ‘AIV’</w:t>
      </w:r>
      <w:r w:rsidR="000775FE">
        <w:rPr>
          <w:rStyle w:val="Referencingstyle"/>
        </w:rPr>
        <w:t>,</w:t>
      </w:r>
      <w:r w:rsidR="00C02490">
        <w:rPr>
          <w:rStyle w:val="Referencingstyle"/>
        </w:rPr>
        <w:t xml:space="preserve"> ‘assessment’,</w:t>
      </w:r>
      <w:r w:rsidR="000775FE">
        <w:rPr>
          <w:rStyle w:val="Referencingstyle"/>
        </w:rPr>
        <w:t xml:space="preserve"> ‘attribution sub</w:t>
      </w:r>
      <w:r w:rsidR="000775FE">
        <w:rPr>
          <w:rStyle w:val="Referencingstyle"/>
        </w:rPr>
        <w:noBreakHyphen/>
        <w:t>fund’, ‘</w:t>
      </w:r>
      <w:r>
        <w:rPr>
          <w:rStyle w:val="Referencingstyle"/>
        </w:rPr>
        <w:t xml:space="preserve">CCIV’ and </w:t>
      </w:r>
      <w:r w:rsidR="00C02490">
        <w:rPr>
          <w:rStyle w:val="Referencingstyle"/>
        </w:rPr>
        <w:t xml:space="preserve">‘sub-fund’ </w:t>
      </w:r>
      <w:r>
        <w:rPr>
          <w:rStyle w:val="Referencingstyle"/>
        </w:rPr>
        <w:t xml:space="preserve"> in subsection 6(1) of the ITAA 1936 and definitions of ‘AIV’, ‘AIV component’</w:t>
      </w:r>
      <w:r w:rsidR="0075675F">
        <w:rPr>
          <w:rStyle w:val="Referencingstyle"/>
        </w:rPr>
        <w:t>, ‘AIV component deficit’, ‘AIV </w:t>
      </w:r>
      <w:r>
        <w:rPr>
          <w:rStyle w:val="Referencingstyle"/>
        </w:rPr>
        <w:t>cost base increase amount’, ‘AIV cost base net amount’, ‘AIV cost base reduction amount’, ‘AIV</w:t>
      </w:r>
      <w:r w:rsidR="000775FE">
        <w:rPr>
          <w:rStyle w:val="Referencingstyle"/>
        </w:rPr>
        <w:t> </w:t>
      </w:r>
      <w:r>
        <w:rPr>
          <w:rStyle w:val="Referencingstyle"/>
        </w:rPr>
        <w:t>DIR payment’, ‘AIV dividend payment’, ‘AIV interest payment’, ‘AIVMA</w:t>
      </w:r>
      <w:r w:rsidR="000775FE">
        <w:rPr>
          <w:rStyle w:val="Referencingstyle"/>
        </w:rPr>
        <w:t> </w:t>
      </w:r>
      <w:r>
        <w:rPr>
          <w:rStyle w:val="Referencingstyle"/>
        </w:rPr>
        <w:t>statement’, ‘AIV member annual statement’, ‘AIV royalty payment’, ‘</w:t>
      </w:r>
      <w:r w:rsidR="000775FE">
        <w:rPr>
          <w:rStyle w:val="Referencingstyle"/>
        </w:rPr>
        <w:t>AMIT restructuring period’</w:t>
      </w:r>
      <w:r>
        <w:rPr>
          <w:rStyle w:val="Referencingstyle"/>
        </w:rPr>
        <w:t>, ‘attribution investment vehicle’, ‘</w:t>
      </w:r>
      <w:r w:rsidR="000775FE">
        <w:rPr>
          <w:rStyle w:val="Referencingstyle"/>
        </w:rPr>
        <w:t>attribution sub</w:t>
      </w:r>
      <w:r w:rsidR="000775FE">
        <w:rPr>
          <w:rStyle w:val="Referencingstyle"/>
        </w:rPr>
        <w:noBreakHyphen/>
        <w:t xml:space="preserve">fund’, </w:t>
      </w:r>
      <w:r>
        <w:rPr>
          <w:rStyle w:val="Referencingstyle"/>
        </w:rPr>
        <w:t>‘carry-forward AIV component deficit’, ‘</w:t>
      </w:r>
      <w:r w:rsidR="000775FE">
        <w:rPr>
          <w:rStyle w:val="Referencingstyle"/>
        </w:rPr>
        <w:t xml:space="preserve">CCIV’, </w:t>
      </w:r>
      <w:r>
        <w:rPr>
          <w:rStyle w:val="Referencingstyle"/>
        </w:rPr>
        <w:t>‘corporate collective investment vehicle’, ‘corporate director’,</w:t>
      </w:r>
      <w:r w:rsidR="00C02490">
        <w:rPr>
          <w:rStyle w:val="Referencingstyle"/>
        </w:rPr>
        <w:t xml:space="preserve"> ‘depositary’, ‘determine</w:t>
      </w:r>
      <w:r w:rsidR="0075675F">
        <w:rPr>
          <w:rStyle w:val="Referencingstyle"/>
        </w:rPr>
        <w:t>d AIV component’, ‘excluded sub</w:t>
      </w:r>
      <w:r w:rsidR="0075675F">
        <w:rPr>
          <w:rStyle w:val="Referencingstyle"/>
        </w:rPr>
        <w:noBreakHyphen/>
      </w:r>
      <w:r w:rsidR="00C02490">
        <w:rPr>
          <w:rStyle w:val="Referencingstyle"/>
        </w:rPr>
        <w:t>fund’, ‘excluded sub-fund restructuring period’,</w:t>
      </w:r>
      <w:r w:rsidR="000775FE">
        <w:rPr>
          <w:rStyle w:val="Referencingstyle"/>
        </w:rPr>
        <w:t xml:space="preserve"> </w:t>
      </w:r>
      <w:r>
        <w:rPr>
          <w:rStyle w:val="Referencingstyle"/>
        </w:rPr>
        <w:t>‘income tax law’, ‘investment vehicle withholding tax’, ‘member’, non-arm’s length income’, ‘operator’, ‘post-AIVMA actual payment’, ‘pre-AIVMA actual payment’, ‘</w:t>
      </w:r>
      <w:r w:rsidR="00722771">
        <w:rPr>
          <w:rStyle w:val="Referencingstyle"/>
        </w:rPr>
        <w:t xml:space="preserve">referable’, </w:t>
      </w:r>
      <w:r>
        <w:rPr>
          <w:rStyle w:val="Referencingstyle"/>
        </w:rPr>
        <w:t>‘sub</w:t>
      </w:r>
      <w:r>
        <w:rPr>
          <w:rStyle w:val="Referencingstyle"/>
        </w:rPr>
        <w:noBreakHyphen/>
        <w:t>fund’, ‘sub-fund participation interest’, ‘withholding</w:t>
      </w:r>
      <w:r w:rsidR="00722771">
        <w:rPr>
          <w:rStyle w:val="Referencingstyle"/>
        </w:rPr>
        <w:t> </w:t>
      </w:r>
      <w:r w:rsidR="00C02490">
        <w:rPr>
          <w:rStyle w:val="Referencingstyle"/>
        </w:rPr>
        <w:t xml:space="preserve">CCIV’ </w:t>
      </w:r>
      <w:r>
        <w:rPr>
          <w:rStyle w:val="Referencingstyle"/>
        </w:rPr>
        <w:t xml:space="preserve">and ‘withholding tax’ in </w:t>
      </w:r>
      <w:r w:rsidR="0075675F">
        <w:rPr>
          <w:rStyle w:val="Referencingstyle"/>
        </w:rPr>
        <w:t>subsection 995-1(1) of the ITAA </w:t>
      </w:r>
      <w:r>
        <w:rPr>
          <w:rStyle w:val="Referencingstyle"/>
        </w:rPr>
        <w:t>1997]</w:t>
      </w:r>
    </w:p>
    <w:p w14:paraId="5E776746" w14:textId="77777777" w:rsidR="00AF4722" w:rsidRPr="00BF3D02" w:rsidRDefault="00AF4722" w:rsidP="00AF4722">
      <w:pPr>
        <w:pStyle w:val="Heading2"/>
      </w:pPr>
      <w:r w:rsidRPr="00BF3D02">
        <w:lastRenderedPageBreak/>
        <w:t>Application and transitional provisions</w:t>
      </w:r>
    </w:p>
    <w:p w14:paraId="15F5FADA" w14:textId="17A16CEB" w:rsidR="00AF4722" w:rsidRPr="00D14B25" w:rsidRDefault="00536BDF" w:rsidP="00AF4722">
      <w:pPr>
        <w:pStyle w:val="base-text-paragraph"/>
        <w:numPr>
          <w:ilvl w:val="1"/>
          <w:numId w:val="44"/>
        </w:numPr>
        <w:rPr>
          <w:rStyle w:val="Referencingstyle"/>
          <w:b w:val="0"/>
          <w:i w:val="0"/>
          <w:sz w:val="22"/>
        </w:rPr>
      </w:pPr>
      <w:r>
        <w:t>A</w:t>
      </w:r>
      <w:r w:rsidR="0067096C">
        <w:t xml:space="preserve"> revised </w:t>
      </w:r>
      <w:r w:rsidR="00DE60A1">
        <w:t>application</w:t>
      </w:r>
      <w:r w:rsidR="0067096C">
        <w:t xml:space="preserve"> </w:t>
      </w:r>
      <w:r w:rsidR="00DE60A1">
        <w:t>provision</w:t>
      </w:r>
      <w:r w:rsidR="0067096C">
        <w:t xml:space="preserve"> is being considered to apply </w:t>
      </w:r>
      <w:r w:rsidR="00097A1D">
        <w:t xml:space="preserve">the amendments </w:t>
      </w:r>
      <w:r w:rsidR="0067096C">
        <w:t>prospectively</w:t>
      </w:r>
      <w:r w:rsidR="00AF4722">
        <w:t xml:space="preserve">. </w:t>
      </w:r>
      <w:r w:rsidR="00AF4722" w:rsidRPr="00BF3D02">
        <w:rPr>
          <w:rStyle w:val="Referencingstyle"/>
        </w:rPr>
        <w:t>[</w:t>
      </w:r>
      <w:r w:rsidR="008727B0">
        <w:rPr>
          <w:rStyle w:val="Referencingstyle"/>
        </w:rPr>
        <w:t xml:space="preserve">Schedule </w:t>
      </w:r>
      <w:r w:rsidR="0056195B">
        <w:rPr>
          <w:rStyle w:val="Referencingstyle"/>
        </w:rPr>
        <w:t>10</w:t>
      </w:r>
      <w:r w:rsidR="008727B0">
        <w:rPr>
          <w:rStyle w:val="Referencingstyle"/>
        </w:rPr>
        <w:t>,</w:t>
      </w:r>
      <w:r w:rsidR="0056195B">
        <w:rPr>
          <w:rStyle w:val="Referencingstyle"/>
        </w:rPr>
        <w:t xml:space="preserve"> </w:t>
      </w:r>
      <w:r w:rsidR="008727B0">
        <w:rPr>
          <w:rStyle w:val="Referencingstyle"/>
        </w:rPr>
        <w:t xml:space="preserve"> item 1</w:t>
      </w:r>
      <w:r w:rsidR="00AF4722" w:rsidRPr="00BF3D02">
        <w:rPr>
          <w:rStyle w:val="Referencingstyle"/>
        </w:rPr>
        <w:t>]</w:t>
      </w:r>
    </w:p>
    <w:p w14:paraId="16CA0B52" w14:textId="24E2558E" w:rsidR="00AF4722" w:rsidRPr="00D14B25" w:rsidRDefault="00AF4722" w:rsidP="00AF4722">
      <w:pPr>
        <w:pStyle w:val="base-text-paragraph"/>
        <w:numPr>
          <w:ilvl w:val="1"/>
          <w:numId w:val="44"/>
        </w:numPr>
        <w:rPr>
          <w:rStyle w:val="Referencingstyle"/>
          <w:b w:val="0"/>
          <w:i w:val="0"/>
          <w:sz w:val="22"/>
        </w:rPr>
      </w:pPr>
      <w:r w:rsidRPr="0071447D">
        <w:rPr>
          <w:rStyle w:val="Referencingstyle"/>
          <w:b w:val="0"/>
          <w:i w:val="0"/>
          <w:sz w:val="22"/>
        </w:rPr>
        <w:t xml:space="preserve">If a choice is made under section 276-20 of the ITAA 1997 before the repeal of that section by the </w:t>
      </w:r>
      <w:r w:rsidRPr="00FC1952">
        <w:rPr>
          <w:rStyle w:val="Referencingstyle"/>
          <w:b w:val="0"/>
          <w:i w:val="0"/>
          <w:sz w:val="22"/>
        </w:rPr>
        <w:t xml:space="preserve">Treasury Laws Amendment (Corporate Collective Investment Vehicle) Act </w:t>
      </w:r>
      <w:r w:rsidR="005A2966">
        <w:rPr>
          <w:rStyle w:val="Referencingstyle"/>
          <w:b w:val="0"/>
          <w:i w:val="0"/>
          <w:sz w:val="22"/>
        </w:rPr>
        <w:t>2018</w:t>
      </w:r>
      <w:r w:rsidRPr="00FC1952">
        <w:rPr>
          <w:rStyle w:val="Referencingstyle"/>
          <w:b w:val="0"/>
          <w:i w:val="0"/>
          <w:sz w:val="22"/>
        </w:rPr>
        <w:t xml:space="preserve"> (the amending Act), the choice continues in effect after the repeal as if the choice had been made under section 276-48 of that Act as amended by the amending Act.</w:t>
      </w:r>
      <w:r>
        <w:rPr>
          <w:rStyle w:val="Referencingstyle"/>
        </w:rPr>
        <w:t xml:space="preserve"> </w:t>
      </w:r>
      <w:r w:rsidRPr="00BF3D02">
        <w:rPr>
          <w:rStyle w:val="Referencingstyle"/>
        </w:rPr>
        <w:t>[</w:t>
      </w:r>
      <w:r w:rsidR="0056195B">
        <w:rPr>
          <w:rStyle w:val="Referencingstyle"/>
        </w:rPr>
        <w:t>Schedule 10</w:t>
      </w:r>
      <w:r w:rsidR="008727B0">
        <w:rPr>
          <w:rStyle w:val="Referencingstyle"/>
        </w:rPr>
        <w:t>, item 3</w:t>
      </w:r>
      <w:r>
        <w:rPr>
          <w:rStyle w:val="Referencingstyle"/>
        </w:rPr>
        <w:t xml:space="preserve">, </w:t>
      </w:r>
      <w:r w:rsidR="0061765B">
        <w:rPr>
          <w:rStyle w:val="Referencingstyle"/>
        </w:rPr>
        <w:t>sub</w:t>
      </w:r>
      <w:r>
        <w:rPr>
          <w:rStyle w:val="Referencingstyle"/>
        </w:rPr>
        <w:t>section</w:t>
      </w:r>
      <w:r w:rsidR="0061765B">
        <w:rPr>
          <w:rStyle w:val="Referencingstyle"/>
        </w:rPr>
        <w:t>s</w:t>
      </w:r>
      <w:r>
        <w:rPr>
          <w:rStyle w:val="Referencingstyle"/>
        </w:rPr>
        <w:t xml:space="preserve"> 276-10</w:t>
      </w:r>
      <w:r w:rsidR="0061765B">
        <w:rPr>
          <w:rStyle w:val="Referencingstyle"/>
        </w:rPr>
        <w:t>(1) and (2)</w:t>
      </w:r>
      <w:r>
        <w:rPr>
          <w:rStyle w:val="Referencingstyle"/>
        </w:rPr>
        <w:t xml:space="preserve"> of the Income Tax (Transitional Provisions) Act 1997</w:t>
      </w:r>
      <w:r w:rsidRPr="00BF3D02">
        <w:rPr>
          <w:rStyle w:val="Referencingstyle"/>
        </w:rPr>
        <w:t>]</w:t>
      </w:r>
    </w:p>
    <w:p w14:paraId="74DDCEEF" w14:textId="484F47A3" w:rsidR="009B4831" w:rsidRPr="00D14B25" w:rsidRDefault="00C2676B" w:rsidP="00AF4722">
      <w:pPr>
        <w:pStyle w:val="base-text-paragraph"/>
        <w:numPr>
          <w:ilvl w:val="1"/>
          <w:numId w:val="7"/>
        </w:numPr>
        <w:rPr>
          <w:rStyle w:val="Referencingstyle"/>
          <w:b w:val="0"/>
          <w:i w:val="0"/>
          <w:sz w:val="22"/>
        </w:rPr>
      </w:pPr>
      <w:r>
        <w:rPr>
          <w:rStyle w:val="Referencingstyle"/>
          <w:b w:val="0"/>
          <w:i w:val="0"/>
          <w:sz w:val="22"/>
        </w:rPr>
        <w:t>E</w:t>
      </w:r>
      <w:r w:rsidR="0061765B">
        <w:rPr>
          <w:rStyle w:val="Referencingstyle"/>
          <w:b w:val="0"/>
          <w:i w:val="0"/>
          <w:sz w:val="22"/>
        </w:rPr>
        <w:t xml:space="preserve">xisting AMITs are taken to comply with obligations relating to AIVMA statements under the </w:t>
      </w:r>
      <w:r w:rsidR="00483E25">
        <w:rPr>
          <w:rStyle w:val="Referencingstyle"/>
          <w:b w:val="0"/>
          <w:i w:val="0"/>
          <w:sz w:val="22"/>
        </w:rPr>
        <w:t xml:space="preserve">ITAA 1997 </w:t>
      </w:r>
      <w:r w:rsidR="0061765B">
        <w:rPr>
          <w:rStyle w:val="Referencingstyle"/>
          <w:b w:val="0"/>
          <w:i w:val="0"/>
          <w:sz w:val="22"/>
        </w:rPr>
        <w:t xml:space="preserve">where it has been in compliance with its obligations relating to AMMA statements under the </w:t>
      </w:r>
      <w:r w:rsidR="00097A1D">
        <w:rPr>
          <w:rStyle w:val="Referencingstyle"/>
          <w:b w:val="0"/>
          <w:i w:val="0"/>
          <w:sz w:val="22"/>
        </w:rPr>
        <w:t>existing law</w:t>
      </w:r>
      <w:r w:rsidR="0061765B">
        <w:rPr>
          <w:rStyle w:val="Referencingstyle"/>
          <w:b w:val="0"/>
          <w:i w:val="0"/>
          <w:sz w:val="22"/>
        </w:rPr>
        <w:t xml:space="preserve">. </w:t>
      </w:r>
      <w:r w:rsidR="0061765B" w:rsidRPr="00BF3D02">
        <w:rPr>
          <w:rStyle w:val="Referencingstyle"/>
        </w:rPr>
        <w:t>[</w:t>
      </w:r>
      <w:r w:rsidR="0061765B">
        <w:rPr>
          <w:rStyle w:val="Referencingstyle"/>
        </w:rPr>
        <w:t>Schedule 10, item 3, subsections 276-10(3) and (4) of the Income Tax (Transitional Provisions) Act 1997</w:t>
      </w:r>
      <w:r w:rsidR="0061765B" w:rsidRPr="00BF3D02">
        <w:rPr>
          <w:rStyle w:val="Referencingstyle"/>
        </w:rPr>
        <w:t>]</w:t>
      </w:r>
    </w:p>
    <w:p w14:paraId="1CAE20B0" w14:textId="77777777" w:rsidR="00DF631D" w:rsidRDefault="00DF631D">
      <w:pPr>
        <w:spacing w:before="0" w:after="160" w:line="259" w:lineRule="auto"/>
      </w:pPr>
    </w:p>
    <w:sectPr w:rsidR="00DF631D" w:rsidSect="00C743D3">
      <w:headerReference w:type="default" r:id="rId33"/>
      <w:footerReference w:type="even" r:id="rId34"/>
      <w:footerReference w:type="default" r:id="rId35"/>
      <w:footerReference w:type="first" r:id="rId36"/>
      <w:type w:val="oddPage"/>
      <w:pgSz w:w="9979" w:h="14175" w:code="9"/>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E5355" w14:textId="77777777" w:rsidR="00B61D64" w:rsidRDefault="00B61D64" w:rsidP="00E679CA">
      <w:pPr>
        <w:spacing w:before="0" w:after="0"/>
      </w:pPr>
      <w:r>
        <w:separator/>
      </w:r>
    </w:p>
  </w:endnote>
  <w:endnote w:type="continuationSeparator" w:id="0">
    <w:p w14:paraId="64769C92" w14:textId="77777777" w:rsidR="00B61D64" w:rsidRDefault="00B61D64" w:rsidP="00E679CA">
      <w:pPr>
        <w:spacing w:before="0" w:after="0"/>
      </w:pPr>
      <w:r>
        <w:continuationSeparator/>
      </w:r>
    </w:p>
  </w:endnote>
  <w:endnote w:type="continuationNotice" w:id="1">
    <w:p w14:paraId="79F8BAC1" w14:textId="77777777" w:rsidR="00B61D64" w:rsidRDefault="00B61D6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1D5F" w14:textId="77777777" w:rsidR="00B61D64" w:rsidRDefault="00B61D64" w:rsidP="0016134B">
    <w:pPr>
      <w:pStyle w:val="leftfooter"/>
    </w:pPr>
    <w:r>
      <w:fldChar w:fldCharType="begin"/>
    </w:r>
    <w:r>
      <w:instrText xml:space="preserve"> PAGE   \* MERGEFORMAT </w:instrText>
    </w:r>
    <w:r>
      <w:fldChar w:fldCharType="separate"/>
    </w:r>
    <w:r>
      <w:rPr>
        <w:noProof/>
      </w:rPr>
      <w:t>2</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58AAE" w14:textId="77777777" w:rsidR="00B61D64" w:rsidRDefault="00B61D64" w:rsidP="0016134B">
    <w:pPr>
      <w:pStyle w:val="rightfooter"/>
    </w:pPr>
    <w:r>
      <w:fldChar w:fldCharType="begin"/>
    </w:r>
    <w:r>
      <w:instrText xml:space="preserve"> PAGE   \* MERGEFORMAT </w:instrText>
    </w:r>
    <w:r>
      <w:fldChar w:fldCharType="separate"/>
    </w:r>
    <w:r w:rsidR="00AE76D9">
      <w:rPr>
        <w:noProof/>
      </w:rPr>
      <w:t>47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84823" w14:textId="77777777" w:rsidR="00B61D64" w:rsidRDefault="00B61D64" w:rsidP="0016134B">
    <w:pPr>
      <w:pStyle w:val="rightfooter"/>
    </w:pPr>
    <w:r>
      <w:fldChar w:fldCharType="begin"/>
    </w:r>
    <w:r>
      <w:instrText xml:space="preserve"> PAGE  \* Arabic  \* MERGEFORMAT </w:instrText>
    </w:r>
    <w:r>
      <w:fldChar w:fldCharType="separate"/>
    </w:r>
    <w:r w:rsidR="00AE76D9">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3BF77" w14:textId="77777777" w:rsidR="00B61D64" w:rsidRDefault="00B61D64" w:rsidP="0016134B">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083CD" w14:textId="77777777" w:rsidR="00B61D64" w:rsidRDefault="00B61D64" w:rsidP="0016134B">
    <w:pPr>
      <w:pStyle w:val="leftfooter"/>
    </w:pPr>
    <w:r>
      <w:fldChar w:fldCharType="begin"/>
    </w:r>
    <w:r>
      <w:instrText xml:space="preserve"> PAGE   \* MERGEFORMAT </w:instrText>
    </w:r>
    <w:r>
      <w:fldChar w:fldCharType="separate"/>
    </w:r>
    <w:r>
      <w:rPr>
        <w:noProof/>
      </w:rPr>
      <w:t>4</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6E9A6" w14:textId="77777777" w:rsidR="00B61D64" w:rsidRDefault="00B61D64" w:rsidP="0016134B">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A56C5" w14:textId="77777777" w:rsidR="00B61D64" w:rsidRPr="00B2068E" w:rsidRDefault="00B61D64" w:rsidP="0016134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002A8" w14:textId="77777777" w:rsidR="00B61D64" w:rsidRDefault="00B61D64" w:rsidP="0016134B">
    <w:pPr>
      <w:pStyle w:val="leftfooter"/>
    </w:pPr>
    <w:r>
      <w:fldChar w:fldCharType="begin"/>
    </w:r>
    <w:r>
      <w:instrText xml:space="preserve"> PAGE   \* MERGEFORMAT </w:instrText>
    </w:r>
    <w:r>
      <w:fldChar w:fldCharType="separate"/>
    </w:r>
    <w:r>
      <w:rPr>
        <w:noProof/>
      </w:rPr>
      <w:t>2</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C7B52" w14:textId="77777777" w:rsidR="00B61D64" w:rsidRDefault="00B61D64" w:rsidP="0016134B">
    <w:pPr>
      <w:pStyle w:val="rightfooter"/>
    </w:pPr>
    <w:r>
      <w:fldChar w:fldCharType="begin"/>
    </w:r>
    <w:r>
      <w:instrText xml:space="preserve"> PAGE   \* MERGEFORMAT </w:instrText>
    </w:r>
    <w:r>
      <w:fldChar w:fldCharType="separate"/>
    </w:r>
    <w:r>
      <w:rPr>
        <w:noProof/>
      </w:rPr>
      <w:t>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32873" w14:textId="77777777" w:rsidR="00B61D64" w:rsidRDefault="00B61D64" w:rsidP="0016134B">
    <w:pPr>
      <w:pStyle w:val="rightfooter"/>
    </w:pPr>
    <w:r>
      <w:fldChar w:fldCharType="begin"/>
    </w:r>
    <w:r>
      <w:instrText xml:space="preserve"> PAGE  \* Arabic  \* MERGEFORMAT </w:instrText>
    </w:r>
    <w:r>
      <w:fldChar w:fldCharType="separate"/>
    </w:r>
    <w:r w:rsidR="00AE76D9">
      <w:rPr>
        <w:noProof/>
      </w:rPr>
      <w:t>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8C3FF" w14:textId="77777777" w:rsidR="00B61D64" w:rsidRDefault="00B61D64" w:rsidP="0016134B">
    <w:pPr>
      <w:pStyle w:val="leftfooter"/>
    </w:pPr>
    <w:r>
      <w:fldChar w:fldCharType="begin"/>
    </w:r>
    <w:r>
      <w:instrText xml:space="preserve"> PAGE   \* MERGEFORMAT </w:instrText>
    </w:r>
    <w:r>
      <w:fldChar w:fldCharType="separate"/>
    </w:r>
    <w:r w:rsidR="00AE76D9">
      <w:rPr>
        <w:noProof/>
      </w:rPr>
      <w:t>46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B98EF" w14:textId="77777777" w:rsidR="00B61D64" w:rsidRDefault="00B61D64" w:rsidP="00E679CA">
      <w:pPr>
        <w:spacing w:before="0" w:after="0"/>
      </w:pPr>
      <w:r>
        <w:separator/>
      </w:r>
    </w:p>
  </w:footnote>
  <w:footnote w:type="continuationSeparator" w:id="0">
    <w:p w14:paraId="772E402E" w14:textId="77777777" w:rsidR="00B61D64" w:rsidRDefault="00B61D64" w:rsidP="00E679CA">
      <w:pPr>
        <w:spacing w:before="0" w:after="0"/>
      </w:pPr>
      <w:r>
        <w:continuationSeparator/>
      </w:r>
    </w:p>
  </w:footnote>
  <w:footnote w:type="continuationNotice" w:id="1">
    <w:p w14:paraId="5E1CB364" w14:textId="77777777" w:rsidR="00B61D64" w:rsidRDefault="00B61D6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978F9" w14:textId="77777777" w:rsidR="00B61D64" w:rsidRDefault="00B61D64" w:rsidP="0016134B">
    <w:pPr>
      <w:pStyle w:val="leftheader"/>
    </w:pPr>
    <w:r>
      <w:fldChar w:fldCharType="begin"/>
    </w:r>
    <w:r>
      <w:instrText xml:space="preserve"> macrobutton nomacro [Click here and insert the name of the Bill] </w:instrTex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DCB45" w14:textId="77777777" w:rsidR="00B61D64" w:rsidRDefault="00B61D64" w:rsidP="0016134B">
    <w:pPr>
      <w:pStyle w:val="rightheader"/>
    </w:pPr>
    <w:r>
      <w:fldChar w:fldCharType="begin"/>
    </w:r>
    <w:r>
      <w:instrText xml:space="preserve"> macrobutton nomacro [Click here and enter the name of the Chapter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14990"/>
      <w:docPartObj>
        <w:docPartGallery w:val="Watermarks"/>
        <w:docPartUnique/>
      </w:docPartObj>
    </w:sdtPr>
    <w:sdtEndPr/>
    <w:sdtContent>
      <w:p w14:paraId="46358242" w14:textId="77777777" w:rsidR="00B61D64" w:rsidRDefault="00AE76D9">
        <w:pPr>
          <w:pStyle w:val="Header"/>
        </w:pPr>
        <w:r>
          <w:rPr>
            <w:noProof/>
            <w:lang w:val="en-US" w:eastAsia="en-US"/>
          </w:rPr>
          <w:pict w14:anchorId="5C850C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61685" w14:textId="77777777" w:rsidR="00B61D64" w:rsidRDefault="00B61D64" w:rsidP="0016134B">
    <w:pPr>
      <w:pStyle w:val="left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4652C" w14:textId="77777777" w:rsidR="00B61D64" w:rsidRDefault="00B61D64" w:rsidP="0016134B">
    <w:pPr>
      <w:pStyle w:val="right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5F9FA" w14:textId="77777777" w:rsidR="00B61D64" w:rsidRDefault="00B61D6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AF0F8" w14:textId="77777777" w:rsidR="00B61D64" w:rsidRPr="00422FA2" w:rsidRDefault="00AE76D9" w:rsidP="00422FA2">
    <w:pPr>
      <w:pStyle w:val="leftheader"/>
    </w:pPr>
    <w:r>
      <w:fldChar w:fldCharType="begin"/>
    </w:r>
    <w:r>
      <w:instrText xml:space="preserve"> STYLEREF  "Bill Name"  \* MERGEFORMAT </w:instrText>
    </w:r>
    <w:r>
      <w:fldChar w:fldCharType="separate"/>
    </w:r>
    <w:r>
      <w:rPr>
        <w:noProof/>
      </w:rPr>
      <w:t>Treasury Laws Amendment (Corporate Collective Investment Vehicle) Bill 2018: Tax Treatment</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4DD2" w14:textId="77777777" w:rsidR="00B61D64" w:rsidRDefault="00AE76D9" w:rsidP="0016134B">
    <w:pPr>
      <w:pStyle w:val="rightheader"/>
    </w:pPr>
    <w:r>
      <w:fldChar w:fldCharType="begin"/>
    </w:r>
    <w:r>
      <w:instrText xml:space="preserve"> STYLEREF  "ChapterNameOnly"  \* MERGEFORMAT </w:instrText>
    </w:r>
    <w:r>
      <w:fldChar w:fldCharType="separate"/>
    </w:r>
    <w:r>
      <w:rPr>
        <w:noProof/>
      </w:rPr>
      <w:t>Glossary</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7A013" w14:textId="77777777" w:rsidR="00B61D64" w:rsidRDefault="00B61D64" w:rsidP="0016134B">
    <w:pPr>
      <w:pStyle w:val="rightheader"/>
    </w:pPr>
    <w:r w:rsidRPr="00BE236D">
      <w:rPr>
        <w:noProof/>
      </w:rPr>
      <w:t>Tax treatment of corporate collective investment vehicles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1226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F866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D5627D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8E813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8F2ACFC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1F874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3F664E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C66E1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69CBACA"/>
    <w:lvl w:ilvl="0">
      <w:start w:val="1"/>
      <w:numFmt w:val="decimal"/>
      <w:pStyle w:val="ListNumber"/>
      <w:lvlText w:val="%1."/>
      <w:lvlJc w:val="left"/>
      <w:pPr>
        <w:tabs>
          <w:tab w:val="num" w:pos="360"/>
        </w:tabs>
        <w:ind w:left="360" w:hanging="360"/>
      </w:pPr>
    </w:lvl>
  </w:abstractNum>
  <w:abstractNum w:abstractNumId="9">
    <w:nsid w:val="FFFFFF89"/>
    <w:multiLevelType w:val="singleLevel"/>
    <w:tmpl w:val="699AB89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AE2BEC"/>
    <w:multiLevelType w:val="multilevel"/>
    <w:tmpl w:val="6D98FC9A"/>
    <w:styleLink w:val="TableDotPointList"/>
    <w:lvl w:ilvl="0">
      <w:start w:val="1"/>
      <w:numFmt w:val="bullet"/>
      <w:pStyle w:val="tabledotpoin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pStyle w:val="tabledotpoint2"/>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8220900"/>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BEB4EC5"/>
    <w:multiLevelType w:val="multilevel"/>
    <w:tmpl w:val="C42A210A"/>
    <w:lvl w:ilvl="0">
      <w:start w:val="1"/>
      <w:numFmt w:val="bulle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1252E96"/>
    <w:multiLevelType w:val="multilevel"/>
    <w:tmpl w:val="2C983042"/>
    <w:name w:val="ExampleDotPointList"/>
    <w:lvl w:ilvl="0">
      <w:start w:val="1"/>
      <w:numFmt w:val="bullet"/>
      <w:lvlRestart w:val="0"/>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4">
    <w:nsid w:val="25BD7CA9"/>
    <w:multiLevelType w:val="hybridMultilevel"/>
    <w:tmpl w:val="64A0C8BE"/>
    <w:lvl w:ilvl="0" w:tplc="0C090005">
      <w:start w:val="1"/>
      <w:numFmt w:val="bullet"/>
      <w:lvlText w:val=""/>
      <w:lvlJc w:val="left"/>
      <w:pPr>
        <w:ind w:left="1854" w:hanging="360"/>
      </w:pPr>
      <w:rPr>
        <w:rFonts w:ascii="Wingdings" w:hAnsi="Wingdings"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5">
    <w:nsid w:val="289229A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3824974"/>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714D4B"/>
    <w:multiLevelType w:val="multilevel"/>
    <w:tmpl w:val="A316FE50"/>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pStyle w:val="base-text-paragraph"/>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F950960"/>
    <w:multiLevelType w:val="multilevel"/>
    <w:tmpl w:val="AD1C7528"/>
    <w:name w:val="DotPointList"/>
    <w:lvl w:ilvl="0">
      <w:start w:val="1"/>
      <w:numFmt w:val="bullet"/>
      <w:lvlRestart w:val="0"/>
      <w:pStyle w:val="dotpoint"/>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9">
    <w:nsid w:val="478D416D"/>
    <w:multiLevelType w:val="multilevel"/>
    <w:tmpl w:val="34AAEAB6"/>
    <w:styleLink w:val="DotPointList"/>
    <w:lvl w:ilvl="0">
      <w:start w:val="1"/>
      <w:numFmt w:val="bulle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D795738"/>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EF53485"/>
    <w:multiLevelType w:val="multilevel"/>
    <w:tmpl w:val="148465C2"/>
    <w:styleLink w:val="ExampleDotPointList"/>
    <w:lvl w:ilvl="0">
      <w:start w:val="1"/>
      <w:numFmt w:val="bullet"/>
      <w:pStyle w:val="exampledotpoint1"/>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exampledotpoint2"/>
      <w:lvlText w:val="–"/>
      <w:lvlJc w:val="left"/>
      <w:pPr>
        <w:tabs>
          <w:tab w:val="num" w:pos="2552"/>
        </w:tabs>
        <w:ind w:left="2552" w:hanging="284"/>
      </w:pPr>
      <w:rPr>
        <w:rFonts w:ascii="Times New Roman" w:hAnsi="Times New Roman" w:cs="Times New Roman"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5DF6494"/>
    <w:multiLevelType w:val="multilevel"/>
    <w:tmpl w:val="A316FE50"/>
    <w:numStyleLink w:val="ChapterList"/>
  </w:abstractNum>
  <w:abstractNum w:abstractNumId="23">
    <w:nsid w:val="75FC0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C8C5E8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6"/>
  </w:num>
  <w:num w:numId="2">
    <w:abstractNumId w:val="11"/>
  </w:num>
  <w:num w:numId="3">
    <w:abstractNumId w:val="15"/>
  </w:num>
  <w:num w:numId="4">
    <w:abstractNumId w:val="23"/>
  </w:num>
  <w:num w:numId="5">
    <w:abstractNumId w:val="20"/>
  </w:num>
  <w:num w:numId="6">
    <w:abstractNumId w:val="24"/>
  </w:num>
  <w:num w:numId="7">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17"/>
  </w:num>
  <w:num w:numId="10">
    <w:abstractNumId w:val="22"/>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1">
    <w:abstractNumId w:val="18"/>
  </w:num>
  <w:num w:numId="12">
    <w:abstractNumId w:val="19"/>
  </w:num>
  <w:num w:numId="13">
    <w:abstractNumId w:val="19"/>
  </w:num>
  <w:num w:numId="14">
    <w:abstractNumId w:val="21"/>
  </w:num>
  <w:num w:numId="15">
    <w:abstractNumId w:val="21"/>
  </w:num>
  <w:num w:numId="16">
    <w:abstractNumId w:val="21"/>
  </w:num>
  <w:num w:numId="17">
    <w:abstractNumId w:val="22"/>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9"/>
  </w:num>
  <w:num w:numId="19">
    <w:abstractNumId w:val="9"/>
  </w:num>
  <w:num w:numId="20">
    <w:abstractNumId w:val="7"/>
  </w:num>
  <w:num w:numId="21">
    <w:abstractNumId w:val="7"/>
  </w:num>
  <w:num w:numId="22">
    <w:abstractNumId w:val="6"/>
  </w:num>
  <w:num w:numId="23">
    <w:abstractNumId w:val="6"/>
  </w:num>
  <w:num w:numId="24">
    <w:abstractNumId w:val="5"/>
  </w:num>
  <w:num w:numId="25">
    <w:abstractNumId w:val="5"/>
  </w:num>
  <w:num w:numId="26">
    <w:abstractNumId w:val="4"/>
  </w:num>
  <w:num w:numId="27">
    <w:abstractNumId w:val="4"/>
  </w:num>
  <w:num w:numId="28">
    <w:abstractNumId w:val="8"/>
  </w:num>
  <w:num w:numId="29">
    <w:abstractNumId w:val="8"/>
  </w:num>
  <w:num w:numId="30">
    <w:abstractNumId w:val="3"/>
  </w:num>
  <w:num w:numId="31">
    <w:abstractNumId w:val="3"/>
  </w:num>
  <w:num w:numId="32">
    <w:abstractNumId w:val="2"/>
  </w:num>
  <w:num w:numId="33">
    <w:abstractNumId w:val="2"/>
  </w:num>
  <w:num w:numId="34">
    <w:abstractNumId w:val="1"/>
  </w:num>
  <w:num w:numId="35">
    <w:abstractNumId w:val="1"/>
  </w:num>
  <w:num w:numId="36">
    <w:abstractNumId w:val="0"/>
  </w:num>
  <w:num w:numId="37">
    <w:abstractNumId w:val="0"/>
  </w:num>
  <w:num w:numId="38">
    <w:abstractNumId w:val="12"/>
  </w:num>
  <w:num w:numId="39">
    <w:abstractNumId w:val="12"/>
  </w:num>
  <w:num w:numId="40">
    <w:abstractNumId w:val="10"/>
  </w:num>
  <w:num w:numId="41">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13"/>
  </w:num>
  <w:num w:numId="43">
    <w:abstractNumId w:val="22"/>
  </w:num>
  <w:num w:numId="44">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2269"/>
          </w:tabs>
          <w:ind w:left="1418"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2"/>
    <w:lvlOverride w:ilvl="0">
      <w:lvl w:ilvl="0">
        <w:start w:val="1"/>
        <w:numFmt w:val="decimal"/>
        <w:pStyle w:val="ChapterHeading"/>
        <w:lvlText w:val="Chapter %1"/>
        <w:lvlJc w:val="left"/>
        <w:pPr>
          <w:tabs>
            <w:tab w:val="num" w:pos="3545"/>
          </w:tabs>
          <w:ind w:left="2411"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5"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0">
    <w:abstractNumId w:val="22"/>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1">
    <w:abstractNumId w:val="22"/>
    <w:lvlOverride w:ilvl="1">
      <w:lvl w:ilvl="1">
        <w:start w:val="1"/>
        <w:numFmt w:val="decimal"/>
        <w:pStyle w:val="base-text-paragraph"/>
        <w:lvlText w:val="%1.%2"/>
        <w:lvlJc w:val="left"/>
        <w:pPr>
          <w:tabs>
            <w:tab w:val="num" w:pos="1985"/>
          </w:tabs>
          <w:ind w:left="1134" w:firstLine="0"/>
        </w:pPr>
        <w:rPr>
          <w:rFonts w:hint="default"/>
          <w:i w:val="0"/>
          <w:sz w:val="22"/>
          <w:szCs w:val="22"/>
        </w:rPr>
      </w:lvl>
    </w:lvlOverride>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2">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3">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4">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5">
    <w:abstractNumId w:val="14"/>
  </w:num>
  <w:num w:numId="56">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8">
    <w:abstractNumId w:val="22"/>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2"/>
    <w:lvlOverride w:ilvl="0">
      <w:lvl w:ilvl="0">
        <w:start w:val="1"/>
        <w:numFmt w:val="decimal"/>
        <w:pStyle w:val="ChapterHeading"/>
        <w:lvlText w:val="Chapter %1"/>
        <w:lvlJc w:val="left"/>
        <w:pPr>
          <w:tabs>
            <w:tab w:val="num" w:pos="2978"/>
          </w:tabs>
          <w:ind w:left="1844"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evenAndOddHeaders/>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72"/>
    <w:rsid w:val="0000093C"/>
    <w:rsid w:val="000014AB"/>
    <w:rsid w:val="00001ED2"/>
    <w:rsid w:val="000021C1"/>
    <w:rsid w:val="00005F21"/>
    <w:rsid w:val="000061ED"/>
    <w:rsid w:val="000068D4"/>
    <w:rsid w:val="00006B24"/>
    <w:rsid w:val="0000754B"/>
    <w:rsid w:val="0001197D"/>
    <w:rsid w:val="00011E18"/>
    <w:rsid w:val="00017C83"/>
    <w:rsid w:val="0002054A"/>
    <w:rsid w:val="00023254"/>
    <w:rsid w:val="00023933"/>
    <w:rsid w:val="000260CA"/>
    <w:rsid w:val="00027AE0"/>
    <w:rsid w:val="00027BCE"/>
    <w:rsid w:val="00030A40"/>
    <w:rsid w:val="0003179A"/>
    <w:rsid w:val="00031D66"/>
    <w:rsid w:val="000322A4"/>
    <w:rsid w:val="00033ABB"/>
    <w:rsid w:val="00033DD3"/>
    <w:rsid w:val="000352C3"/>
    <w:rsid w:val="00035979"/>
    <w:rsid w:val="00036125"/>
    <w:rsid w:val="00036684"/>
    <w:rsid w:val="00036A7E"/>
    <w:rsid w:val="0004058A"/>
    <w:rsid w:val="0004289B"/>
    <w:rsid w:val="000434CD"/>
    <w:rsid w:val="00044617"/>
    <w:rsid w:val="000447AA"/>
    <w:rsid w:val="00044D4F"/>
    <w:rsid w:val="00046BA0"/>
    <w:rsid w:val="0004745C"/>
    <w:rsid w:val="00047E32"/>
    <w:rsid w:val="00051F19"/>
    <w:rsid w:val="00056BBD"/>
    <w:rsid w:val="00057353"/>
    <w:rsid w:val="000604EB"/>
    <w:rsid w:val="00060D5B"/>
    <w:rsid w:val="00061E5D"/>
    <w:rsid w:val="0006358E"/>
    <w:rsid w:val="00064DD7"/>
    <w:rsid w:val="00066AC1"/>
    <w:rsid w:val="00067101"/>
    <w:rsid w:val="000743D1"/>
    <w:rsid w:val="000775FE"/>
    <w:rsid w:val="0008024B"/>
    <w:rsid w:val="0008258B"/>
    <w:rsid w:val="00086B74"/>
    <w:rsid w:val="0008700B"/>
    <w:rsid w:val="0009050A"/>
    <w:rsid w:val="00090613"/>
    <w:rsid w:val="000909BF"/>
    <w:rsid w:val="0009129F"/>
    <w:rsid w:val="00091B46"/>
    <w:rsid w:val="00091C61"/>
    <w:rsid w:val="00091D66"/>
    <w:rsid w:val="00091E47"/>
    <w:rsid w:val="000929E1"/>
    <w:rsid w:val="000929F3"/>
    <w:rsid w:val="00093776"/>
    <w:rsid w:val="0009401A"/>
    <w:rsid w:val="00094E39"/>
    <w:rsid w:val="00095105"/>
    <w:rsid w:val="00096AED"/>
    <w:rsid w:val="00096F05"/>
    <w:rsid w:val="00097A1D"/>
    <w:rsid w:val="000A5CF7"/>
    <w:rsid w:val="000A5E69"/>
    <w:rsid w:val="000A62CD"/>
    <w:rsid w:val="000A6767"/>
    <w:rsid w:val="000B0774"/>
    <w:rsid w:val="000B1718"/>
    <w:rsid w:val="000B179B"/>
    <w:rsid w:val="000B1AC6"/>
    <w:rsid w:val="000B35CC"/>
    <w:rsid w:val="000B478E"/>
    <w:rsid w:val="000B4DC7"/>
    <w:rsid w:val="000B5211"/>
    <w:rsid w:val="000B61EC"/>
    <w:rsid w:val="000C0F66"/>
    <w:rsid w:val="000C228B"/>
    <w:rsid w:val="000C26F6"/>
    <w:rsid w:val="000C2A9D"/>
    <w:rsid w:val="000C2E18"/>
    <w:rsid w:val="000C44D7"/>
    <w:rsid w:val="000C4876"/>
    <w:rsid w:val="000C6BCD"/>
    <w:rsid w:val="000C6D68"/>
    <w:rsid w:val="000C71F6"/>
    <w:rsid w:val="000D046C"/>
    <w:rsid w:val="000D04A2"/>
    <w:rsid w:val="000D0A37"/>
    <w:rsid w:val="000D1D78"/>
    <w:rsid w:val="000D2B8A"/>
    <w:rsid w:val="000D2EAA"/>
    <w:rsid w:val="000D3C30"/>
    <w:rsid w:val="000D5B52"/>
    <w:rsid w:val="000D669F"/>
    <w:rsid w:val="000E0C70"/>
    <w:rsid w:val="000E1D38"/>
    <w:rsid w:val="000E2041"/>
    <w:rsid w:val="000E3AD9"/>
    <w:rsid w:val="000E4816"/>
    <w:rsid w:val="000E4B50"/>
    <w:rsid w:val="000E4EAE"/>
    <w:rsid w:val="000E5222"/>
    <w:rsid w:val="000E53A3"/>
    <w:rsid w:val="000E69E5"/>
    <w:rsid w:val="000E6F85"/>
    <w:rsid w:val="000F1A03"/>
    <w:rsid w:val="000F279A"/>
    <w:rsid w:val="000F42C5"/>
    <w:rsid w:val="000F53A3"/>
    <w:rsid w:val="000F59F3"/>
    <w:rsid w:val="000F5D03"/>
    <w:rsid w:val="000F6C96"/>
    <w:rsid w:val="0010153C"/>
    <w:rsid w:val="00101616"/>
    <w:rsid w:val="00102388"/>
    <w:rsid w:val="00106AED"/>
    <w:rsid w:val="00107430"/>
    <w:rsid w:val="00107A5E"/>
    <w:rsid w:val="00112373"/>
    <w:rsid w:val="00112FAC"/>
    <w:rsid w:val="001143A5"/>
    <w:rsid w:val="00116B23"/>
    <w:rsid w:val="00120E65"/>
    <w:rsid w:val="00121908"/>
    <w:rsid w:val="0012377A"/>
    <w:rsid w:val="00123B9E"/>
    <w:rsid w:val="00126229"/>
    <w:rsid w:val="00127304"/>
    <w:rsid w:val="00127BE8"/>
    <w:rsid w:val="00127E7E"/>
    <w:rsid w:val="00130F8C"/>
    <w:rsid w:val="00131F5B"/>
    <w:rsid w:val="00133DC2"/>
    <w:rsid w:val="00134171"/>
    <w:rsid w:val="00134D53"/>
    <w:rsid w:val="0013540D"/>
    <w:rsid w:val="00136A77"/>
    <w:rsid w:val="00137543"/>
    <w:rsid w:val="00137817"/>
    <w:rsid w:val="00137DF9"/>
    <w:rsid w:val="00142D7C"/>
    <w:rsid w:val="00143B0E"/>
    <w:rsid w:val="00143C15"/>
    <w:rsid w:val="00143D0E"/>
    <w:rsid w:val="0014740B"/>
    <w:rsid w:val="00147640"/>
    <w:rsid w:val="00151936"/>
    <w:rsid w:val="00151B14"/>
    <w:rsid w:val="00152030"/>
    <w:rsid w:val="00155459"/>
    <w:rsid w:val="00155ACD"/>
    <w:rsid w:val="00155AFC"/>
    <w:rsid w:val="00155EB3"/>
    <w:rsid w:val="00156DA9"/>
    <w:rsid w:val="00156E39"/>
    <w:rsid w:val="00160B42"/>
    <w:rsid w:val="0016134B"/>
    <w:rsid w:val="00161BE5"/>
    <w:rsid w:val="00164313"/>
    <w:rsid w:val="001671C2"/>
    <w:rsid w:val="00170D55"/>
    <w:rsid w:val="00171858"/>
    <w:rsid w:val="00171905"/>
    <w:rsid w:val="00171F71"/>
    <w:rsid w:val="00172744"/>
    <w:rsid w:val="00172C48"/>
    <w:rsid w:val="00172E4B"/>
    <w:rsid w:val="001733B4"/>
    <w:rsid w:val="001753F4"/>
    <w:rsid w:val="0018039E"/>
    <w:rsid w:val="001811E2"/>
    <w:rsid w:val="0018308B"/>
    <w:rsid w:val="00184051"/>
    <w:rsid w:val="001843BF"/>
    <w:rsid w:val="0018599E"/>
    <w:rsid w:val="001903A7"/>
    <w:rsid w:val="00190988"/>
    <w:rsid w:val="001919C5"/>
    <w:rsid w:val="0019247A"/>
    <w:rsid w:val="001929F4"/>
    <w:rsid w:val="0019469F"/>
    <w:rsid w:val="0019501A"/>
    <w:rsid w:val="0019521D"/>
    <w:rsid w:val="00196814"/>
    <w:rsid w:val="0019763D"/>
    <w:rsid w:val="001A0AE0"/>
    <w:rsid w:val="001A10DC"/>
    <w:rsid w:val="001A1BE4"/>
    <w:rsid w:val="001A2AA2"/>
    <w:rsid w:val="001A2AFF"/>
    <w:rsid w:val="001A2F69"/>
    <w:rsid w:val="001A3535"/>
    <w:rsid w:val="001A46A0"/>
    <w:rsid w:val="001A48EA"/>
    <w:rsid w:val="001A58BF"/>
    <w:rsid w:val="001A72E5"/>
    <w:rsid w:val="001B0D29"/>
    <w:rsid w:val="001B2DF5"/>
    <w:rsid w:val="001B4A2E"/>
    <w:rsid w:val="001B703E"/>
    <w:rsid w:val="001C11C1"/>
    <w:rsid w:val="001C151A"/>
    <w:rsid w:val="001C1751"/>
    <w:rsid w:val="001C2EB9"/>
    <w:rsid w:val="001C3E1A"/>
    <w:rsid w:val="001C4BDB"/>
    <w:rsid w:val="001C540C"/>
    <w:rsid w:val="001C5F2A"/>
    <w:rsid w:val="001C7982"/>
    <w:rsid w:val="001D00FE"/>
    <w:rsid w:val="001D1F9D"/>
    <w:rsid w:val="001D268E"/>
    <w:rsid w:val="001D3AE7"/>
    <w:rsid w:val="001D3BCB"/>
    <w:rsid w:val="001D4EEF"/>
    <w:rsid w:val="001D4FD7"/>
    <w:rsid w:val="001D5D60"/>
    <w:rsid w:val="001E0126"/>
    <w:rsid w:val="001E02F8"/>
    <w:rsid w:val="001E17DC"/>
    <w:rsid w:val="001E3CD8"/>
    <w:rsid w:val="001E41F5"/>
    <w:rsid w:val="001E51A3"/>
    <w:rsid w:val="001E5379"/>
    <w:rsid w:val="001E5C5E"/>
    <w:rsid w:val="001F127C"/>
    <w:rsid w:val="001F12D4"/>
    <w:rsid w:val="001F1664"/>
    <w:rsid w:val="001F16EF"/>
    <w:rsid w:val="001F3114"/>
    <w:rsid w:val="001F3203"/>
    <w:rsid w:val="001F4736"/>
    <w:rsid w:val="001F4F85"/>
    <w:rsid w:val="001F51C9"/>
    <w:rsid w:val="001F686C"/>
    <w:rsid w:val="001F690E"/>
    <w:rsid w:val="001F7BA2"/>
    <w:rsid w:val="001F7E25"/>
    <w:rsid w:val="00206508"/>
    <w:rsid w:val="002106C9"/>
    <w:rsid w:val="00210E31"/>
    <w:rsid w:val="00212D2E"/>
    <w:rsid w:val="00214211"/>
    <w:rsid w:val="00215274"/>
    <w:rsid w:val="00217418"/>
    <w:rsid w:val="00217D59"/>
    <w:rsid w:val="0022075A"/>
    <w:rsid w:val="00221D42"/>
    <w:rsid w:val="00222127"/>
    <w:rsid w:val="00222844"/>
    <w:rsid w:val="002230D0"/>
    <w:rsid w:val="00223613"/>
    <w:rsid w:val="002240BE"/>
    <w:rsid w:val="00224B93"/>
    <w:rsid w:val="002263BD"/>
    <w:rsid w:val="002270DE"/>
    <w:rsid w:val="0023211E"/>
    <w:rsid w:val="00233415"/>
    <w:rsid w:val="0023633E"/>
    <w:rsid w:val="00237C54"/>
    <w:rsid w:val="00244A79"/>
    <w:rsid w:val="00247808"/>
    <w:rsid w:val="00252048"/>
    <w:rsid w:val="0025225A"/>
    <w:rsid w:val="00252EEA"/>
    <w:rsid w:val="00253058"/>
    <w:rsid w:val="002549DD"/>
    <w:rsid w:val="00256DC1"/>
    <w:rsid w:val="00257EDD"/>
    <w:rsid w:val="002600D4"/>
    <w:rsid w:val="00260AC6"/>
    <w:rsid w:val="002614D0"/>
    <w:rsid w:val="00262BD9"/>
    <w:rsid w:val="0026381C"/>
    <w:rsid w:val="00263C7F"/>
    <w:rsid w:val="00263E97"/>
    <w:rsid w:val="00264BE6"/>
    <w:rsid w:val="00265672"/>
    <w:rsid w:val="002662DC"/>
    <w:rsid w:val="00267F2F"/>
    <w:rsid w:val="002717CE"/>
    <w:rsid w:val="0027230F"/>
    <w:rsid w:val="002739A0"/>
    <w:rsid w:val="00273CDD"/>
    <w:rsid w:val="00274C87"/>
    <w:rsid w:val="00275E58"/>
    <w:rsid w:val="00277ABE"/>
    <w:rsid w:val="00277B79"/>
    <w:rsid w:val="00280AC7"/>
    <w:rsid w:val="00280C3A"/>
    <w:rsid w:val="00281674"/>
    <w:rsid w:val="0028232D"/>
    <w:rsid w:val="00282B5E"/>
    <w:rsid w:val="00287B9C"/>
    <w:rsid w:val="00290A0B"/>
    <w:rsid w:val="00291097"/>
    <w:rsid w:val="00291598"/>
    <w:rsid w:val="00291964"/>
    <w:rsid w:val="00291CEB"/>
    <w:rsid w:val="00292559"/>
    <w:rsid w:val="002953C4"/>
    <w:rsid w:val="00295557"/>
    <w:rsid w:val="00295ABD"/>
    <w:rsid w:val="00297C41"/>
    <w:rsid w:val="002A0E73"/>
    <w:rsid w:val="002A26CD"/>
    <w:rsid w:val="002A27FE"/>
    <w:rsid w:val="002A387E"/>
    <w:rsid w:val="002A5E2E"/>
    <w:rsid w:val="002A6CB6"/>
    <w:rsid w:val="002A77EC"/>
    <w:rsid w:val="002B0225"/>
    <w:rsid w:val="002B0AA7"/>
    <w:rsid w:val="002B0BF3"/>
    <w:rsid w:val="002B4216"/>
    <w:rsid w:val="002B469C"/>
    <w:rsid w:val="002B4B9B"/>
    <w:rsid w:val="002B5594"/>
    <w:rsid w:val="002B5866"/>
    <w:rsid w:val="002B591C"/>
    <w:rsid w:val="002B5B54"/>
    <w:rsid w:val="002B777C"/>
    <w:rsid w:val="002C10BF"/>
    <w:rsid w:val="002C3894"/>
    <w:rsid w:val="002C5403"/>
    <w:rsid w:val="002C5405"/>
    <w:rsid w:val="002C5C23"/>
    <w:rsid w:val="002C6FBA"/>
    <w:rsid w:val="002D0B7C"/>
    <w:rsid w:val="002D44D3"/>
    <w:rsid w:val="002D5791"/>
    <w:rsid w:val="002D78CD"/>
    <w:rsid w:val="002E0F25"/>
    <w:rsid w:val="002E2097"/>
    <w:rsid w:val="002E3709"/>
    <w:rsid w:val="002E3798"/>
    <w:rsid w:val="002E3B76"/>
    <w:rsid w:val="002E4BDC"/>
    <w:rsid w:val="002E5D85"/>
    <w:rsid w:val="002E6062"/>
    <w:rsid w:val="002E621E"/>
    <w:rsid w:val="002E7517"/>
    <w:rsid w:val="002F0282"/>
    <w:rsid w:val="002F0D2B"/>
    <w:rsid w:val="002F1E75"/>
    <w:rsid w:val="002F2853"/>
    <w:rsid w:val="002F2D0E"/>
    <w:rsid w:val="002F332F"/>
    <w:rsid w:val="002F5407"/>
    <w:rsid w:val="002F5853"/>
    <w:rsid w:val="002F72B1"/>
    <w:rsid w:val="00300A4F"/>
    <w:rsid w:val="00301273"/>
    <w:rsid w:val="00303CDF"/>
    <w:rsid w:val="00306167"/>
    <w:rsid w:val="00307165"/>
    <w:rsid w:val="003073FC"/>
    <w:rsid w:val="00311827"/>
    <w:rsid w:val="00312524"/>
    <w:rsid w:val="003169AC"/>
    <w:rsid w:val="003173FD"/>
    <w:rsid w:val="00317524"/>
    <w:rsid w:val="003175C6"/>
    <w:rsid w:val="003176C1"/>
    <w:rsid w:val="00320142"/>
    <w:rsid w:val="00321FAC"/>
    <w:rsid w:val="0032255C"/>
    <w:rsid w:val="00322CC9"/>
    <w:rsid w:val="0032314B"/>
    <w:rsid w:val="00324678"/>
    <w:rsid w:val="00324ED3"/>
    <w:rsid w:val="00327393"/>
    <w:rsid w:val="0032778A"/>
    <w:rsid w:val="00330634"/>
    <w:rsid w:val="003331B4"/>
    <w:rsid w:val="00333441"/>
    <w:rsid w:val="003338EE"/>
    <w:rsid w:val="00333B14"/>
    <w:rsid w:val="00335D0A"/>
    <w:rsid w:val="0033614A"/>
    <w:rsid w:val="00336400"/>
    <w:rsid w:val="00343CEE"/>
    <w:rsid w:val="003447DE"/>
    <w:rsid w:val="00344B3C"/>
    <w:rsid w:val="00344DCA"/>
    <w:rsid w:val="00344FD4"/>
    <w:rsid w:val="00346286"/>
    <w:rsid w:val="003466B9"/>
    <w:rsid w:val="00347755"/>
    <w:rsid w:val="00347AB5"/>
    <w:rsid w:val="00347BEB"/>
    <w:rsid w:val="00350035"/>
    <w:rsid w:val="00351F72"/>
    <w:rsid w:val="003534D9"/>
    <w:rsid w:val="00353D0B"/>
    <w:rsid w:val="00355147"/>
    <w:rsid w:val="00355AB5"/>
    <w:rsid w:val="00355B2B"/>
    <w:rsid w:val="003573B5"/>
    <w:rsid w:val="00357735"/>
    <w:rsid w:val="00360263"/>
    <w:rsid w:val="003620ED"/>
    <w:rsid w:val="003635E5"/>
    <w:rsid w:val="00363615"/>
    <w:rsid w:val="0036403C"/>
    <w:rsid w:val="003654F8"/>
    <w:rsid w:val="00365616"/>
    <w:rsid w:val="00367963"/>
    <w:rsid w:val="00371666"/>
    <w:rsid w:val="00371F0E"/>
    <w:rsid w:val="003747B2"/>
    <w:rsid w:val="00374AA1"/>
    <w:rsid w:val="00375F1D"/>
    <w:rsid w:val="0037754A"/>
    <w:rsid w:val="003809E0"/>
    <w:rsid w:val="00381C0E"/>
    <w:rsid w:val="00381C3F"/>
    <w:rsid w:val="00386D4D"/>
    <w:rsid w:val="00387D01"/>
    <w:rsid w:val="003906BD"/>
    <w:rsid w:val="00390D05"/>
    <w:rsid w:val="00391B22"/>
    <w:rsid w:val="003927E0"/>
    <w:rsid w:val="00393095"/>
    <w:rsid w:val="0039341D"/>
    <w:rsid w:val="00393B14"/>
    <w:rsid w:val="00394758"/>
    <w:rsid w:val="00394D20"/>
    <w:rsid w:val="0039661D"/>
    <w:rsid w:val="00396A5B"/>
    <w:rsid w:val="00397512"/>
    <w:rsid w:val="00397625"/>
    <w:rsid w:val="003A11B0"/>
    <w:rsid w:val="003A1AAB"/>
    <w:rsid w:val="003A1C48"/>
    <w:rsid w:val="003A33C9"/>
    <w:rsid w:val="003A345D"/>
    <w:rsid w:val="003A55EF"/>
    <w:rsid w:val="003A5CF5"/>
    <w:rsid w:val="003A657F"/>
    <w:rsid w:val="003A7842"/>
    <w:rsid w:val="003B0E7C"/>
    <w:rsid w:val="003B0F2C"/>
    <w:rsid w:val="003B1818"/>
    <w:rsid w:val="003B3EB7"/>
    <w:rsid w:val="003B5064"/>
    <w:rsid w:val="003B6B47"/>
    <w:rsid w:val="003B77F0"/>
    <w:rsid w:val="003C0232"/>
    <w:rsid w:val="003C19A6"/>
    <w:rsid w:val="003C24D6"/>
    <w:rsid w:val="003C26E3"/>
    <w:rsid w:val="003C4DE1"/>
    <w:rsid w:val="003C5AFE"/>
    <w:rsid w:val="003C5F51"/>
    <w:rsid w:val="003D04A9"/>
    <w:rsid w:val="003D04D8"/>
    <w:rsid w:val="003D124B"/>
    <w:rsid w:val="003D141A"/>
    <w:rsid w:val="003D1C3C"/>
    <w:rsid w:val="003D453B"/>
    <w:rsid w:val="003D4F69"/>
    <w:rsid w:val="003D536B"/>
    <w:rsid w:val="003D57B2"/>
    <w:rsid w:val="003D6ABF"/>
    <w:rsid w:val="003E0CD9"/>
    <w:rsid w:val="003E3C69"/>
    <w:rsid w:val="003E492F"/>
    <w:rsid w:val="003E5AB0"/>
    <w:rsid w:val="003E60F8"/>
    <w:rsid w:val="003E6117"/>
    <w:rsid w:val="003E7235"/>
    <w:rsid w:val="003E7AB0"/>
    <w:rsid w:val="003F012F"/>
    <w:rsid w:val="003F0F14"/>
    <w:rsid w:val="003F2D68"/>
    <w:rsid w:val="003F2EE0"/>
    <w:rsid w:val="003F43CD"/>
    <w:rsid w:val="003F46FC"/>
    <w:rsid w:val="003F5809"/>
    <w:rsid w:val="003F7095"/>
    <w:rsid w:val="003F73FD"/>
    <w:rsid w:val="0040399D"/>
    <w:rsid w:val="0040501D"/>
    <w:rsid w:val="00405C1F"/>
    <w:rsid w:val="00406278"/>
    <w:rsid w:val="00406B58"/>
    <w:rsid w:val="00407730"/>
    <w:rsid w:val="00412225"/>
    <w:rsid w:val="00413262"/>
    <w:rsid w:val="004140FF"/>
    <w:rsid w:val="004157B7"/>
    <w:rsid w:val="00417258"/>
    <w:rsid w:val="00417FAF"/>
    <w:rsid w:val="00422FA2"/>
    <w:rsid w:val="00424025"/>
    <w:rsid w:val="00425F4B"/>
    <w:rsid w:val="004265D4"/>
    <w:rsid w:val="00427A2C"/>
    <w:rsid w:val="00430199"/>
    <w:rsid w:val="0043139F"/>
    <w:rsid w:val="004326C5"/>
    <w:rsid w:val="00434D0F"/>
    <w:rsid w:val="00435532"/>
    <w:rsid w:val="00436FA8"/>
    <w:rsid w:val="00441457"/>
    <w:rsid w:val="004423AA"/>
    <w:rsid w:val="00442E6B"/>
    <w:rsid w:val="00444118"/>
    <w:rsid w:val="00444C3F"/>
    <w:rsid w:val="00445147"/>
    <w:rsid w:val="00445208"/>
    <w:rsid w:val="00445CB4"/>
    <w:rsid w:val="00446CF4"/>
    <w:rsid w:val="004472E7"/>
    <w:rsid w:val="00447505"/>
    <w:rsid w:val="004508F5"/>
    <w:rsid w:val="004529EF"/>
    <w:rsid w:val="00454AA1"/>
    <w:rsid w:val="00454EA5"/>
    <w:rsid w:val="0045549D"/>
    <w:rsid w:val="00460D53"/>
    <w:rsid w:val="004611D8"/>
    <w:rsid w:val="004620F6"/>
    <w:rsid w:val="00463FCD"/>
    <w:rsid w:val="004653BE"/>
    <w:rsid w:val="00465863"/>
    <w:rsid w:val="00467DBF"/>
    <w:rsid w:val="00470700"/>
    <w:rsid w:val="004709FB"/>
    <w:rsid w:val="00471CD5"/>
    <w:rsid w:val="004736B8"/>
    <w:rsid w:val="00474DC3"/>
    <w:rsid w:val="0047568C"/>
    <w:rsid w:val="00475859"/>
    <w:rsid w:val="004777C8"/>
    <w:rsid w:val="00480B00"/>
    <w:rsid w:val="004821E0"/>
    <w:rsid w:val="00482874"/>
    <w:rsid w:val="004830D0"/>
    <w:rsid w:val="004833DC"/>
    <w:rsid w:val="00483432"/>
    <w:rsid w:val="00483E25"/>
    <w:rsid w:val="00484A45"/>
    <w:rsid w:val="00485E6D"/>
    <w:rsid w:val="004873F4"/>
    <w:rsid w:val="004875A7"/>
    <w:rsid w:val="00493103"/>
    <w:rsid w:val="00493609"/>
    <w:rsid w:val="004941D1"/>
    <w:rsid w:val="00494BD8"/>
    <w:rsid w:val="0049552B"/>
    <w:rsid w:val="00495FEB"/>
    <w:rsid w:val="0049678C"/>
    <w:rsid w:val="004A0BBB"/>
    <w:rsid w:val="004A0EC0"/>
    <w:rsid w:val="004A1270"/>
    <w:rsid w:val="004A19AC"/>
    <w:rsid w:val="004A3971"/>
    <w:rsid w:val="004A4686"/>
    <w:rsid w:val="004A56F2"/>
    <w:rsid w:val="004A5ECD"/>
    <w:rsid w:val="004A75B0"/>
    <w:rsid w:val="004B019D"/>
    <w:rsid w:val="004B191C"/>
    <w:rsid w:val="004B339C"/>
    <w:rsid w:val="004B52DC"/>
    <w:rsid w:val="004C0383"/>
    <w:rsid w:val="004C1462"/>
    <w:rsid w:val="004C2286"/>
    <w:rsid w:val="004C3831"/>
    <w:rsid w:val="004C40D4"/>
    <w:rsid w:val="004C6323"/>
    <w:rsid w:val="004C77FE"/>
    <w:rsid w:val="004D27E5"/>
    <w:rsid w:val="004D382A"/>
    <w:rsid w:val="004D4BA1"/>
    <w:rsid w:val="004D5304"/>
    <w:rsid w:val="004D5BB2"/>
    <w:rsid w:val="004D66D7"/>
    <w:rsid w:val="004D6F24"/>
    <w:rsid w:val="004D74A3"/>
    <w:rsid w:val="004D79FE"/>
    <w:rsid w:val="004E0380"/>
    <w:rsid w:val="004E08A3"/>
    <w:rsid w:val="004E1AD5"/>
    <w:rsid w:val="004E1DF8"/>
    <w:rsid w:val="004E1F0B"/>
    <w:rsid w:val="004E314E"/>
    <w:rsid w:val="004E399B"/>
    <w:rsid w:val="004E410E"/>
    <w:rsid w:val="004E4A65"/>
    <w:rsid w:val="004E6630"/>
    <w:rsid w:val="004E7230"/>
    <w:rsid w:val="004E787E"/>
    <w:rsid w:val="004E7C8D"/>
    <w:rsid w:val="004F1DAC"/>
    <w:rsid w:val="004F25F9"/>
    <w:rsid w:val="004F3C00"/>
    <w:rsid w:val="004F68C3"/>
    <w:rsid w:val="004F6EE4"/>
    <w:rsid w:val="004F7A27"/>
    <w:rsid w:val="00501E4F"/>
    <w:rsid w:val="0050219A"/>
    <w:rsid w:val="005040EF"/>
    <w:rsid w:val="00504540"/>
    <w:rsid w:val="00504577"/>
    <w:rsid w:val="00505164"/>
    <w:rsid w:val="00505A8A"/>
    <w:rsid w:val="005121A5"/>
    <w:rsid w:val="005137C1"/>
    <w:rsid w:val="00513A67"/>
    <w:rsid w:val="00516752"/>
    <w:rsid w:val="00517219"/>
    <w:rsid w:val="00517CE3"/>
    <w:rsid w:val="00517E76"/>
    <w:rsid w:val="005300D0"/>
    <w:rsid w:val="00530BEF"/>
    <w:rsid w:val="00531F0B"/>
    <w:rsid w:val="0053257A"/>
    <w:rsid w:val="00532999"/>
    <w:rsid w:val="00532A69"/>
    <w:rsid w:val="00534C8A"/>
    <w:rsid w:val="00535D24"/>
    <w:rsid w:val="00535F17"/>
    <w:rsid w:val="005360CB"/>
    <w:rsid w:val="00536BDF"/>
    <w:rsid w:val="00536EFE"/>
    <w:rsid w:val="005378C2"/>
    <w:rsid w:val="00540F36"/>
    <w:rsid w:val="00541100"/>
    <w:rsid w:val="00542A82"/>
    <w:rsid w:val="00545ED8"/>
    <w:rsid w:val="005461A5"/>
    <w:rsid w:val="0055086F"/>
    <w:rsid w:val="00551665"/>
    <w:rsid w:val="005519C3"/>
    <w:rsid w:val="00551EA5"/>
    <w:rsid w:val="005520CF"/>
    <w:rsid w:val="00552465"/>
    <w:rsid w:val="005532EB"/>
    <w:rsid w:val="0055467D"/>
    <w:rsid w:val="00554796"/>
    <w:rsid w:val="00556065"/>
    <w:rsid w:val="00557860"/>
    <w:rsid w:val="00560199"/>
    <w:rsid w:val="0056037F"/>
    <w:rsid w:val="0056195B"/>
    <w:rsid w:val="005642C9"/>
    <w:rsid w:val="005656E9"/>
    <w:rsid w:val="005665A8"/>
    <w:rsid w:val="00566D07"/>
    <w:rsid w:val="00567602"/>
    <w:rsid w:val="005709A7"/>
    <w:rsid w:val="00570A7C"/>
    <w:rsid w:val="005719F0"/>
    <w:rsid w:val="00572064"/>
    <w:rsid w:val="00572A88"/>
    <w:rsid w:val="00573456"/>
    <w:rsid w:val="005747C3"/>
    <w:rsid w:val="00574CA0"/>
    <w:rsid w:val="005764DE"/>
    <w:rsid w:val="00576607"/>
    <w:rsid w:val="00581C06"/>
    <w:rsid w:val="00583F1E"/>
    <w:rsid w:val="005846EB"/>
    <w:rsid w:val="00585007"/>
    <w:rsid w:val="00591845"/>
    <w:rsid w:val="00593520"/>
    <w:rsid w:val="0059366F"/>
    <w:rsid w:val="005937DC"/>
    <w:rsid w:val="00593800"/>
    <w:rsid w:val="0059385A"/>
    <w:rsid w:val="00593E5B"/>
    <w:rsid w:val="00594681"/>
    <w:rsid w:val="00595D50"/>
    <w:rsid w:val="005A1CB2"/>
    <w:rsid w:val="005A27F1"/>
    <w:rsid w:val="005A2966"/>
    <w:rsid w:val="005A496E"/>
    <w:rsid w:val="005A63B4"/>
    <w:rsid w:val="005B0C06"/>
    <w:rsid w:val="005B11F0"/>
    <w:rsid w:val="005B1540"/>
    <w:rsid w:val="005B1A8E"/>
    <w:rsid w:val="005B21A5"/>
    <w:rsid w:val="005B4467"/>
    <w:rsid w:val="005B5794"/>
    <w:rsid w:val="005B6464"/>
    <w:rsid w:val="005B65B0"/>
    <w:rsid w:val="005C0B60"/>
    <w:rsid w:val="005C0D79"/>
    <w:rsid w:val="005C1ACD"/>
    <w:rsid w:val="005C3AE4"/>
    <w:rsid w:val="005C430A"/>
    <w:rsid w:val="005C489E"/>
    <w:rsid w:val="005C4C35"/>
    <w:rsid w:val="005C62B3"/>
    <w:rsid w:val="005C64EA"/>
    <w:rsid w:val="005C75BE"/>
    <w:rsid w:val="005C78B3"/>
    <w:rsid w:val="005D01AE"/>
    <w:rsid w:val="005D37DA"/>
    <w:rsid w:val="005D38CB"/>
    <w:rsid w:val="005D597B"/>
    <w:rsid w:val="005D5FD1"/>
    <w:rsid w:val="005D6EC6"/>
    <w:rsid w:val="005E0073"/>
    <w:rsid w:val="005E100E"/>
    <w:rsid w:val="005E14C0"/>
    <w:rsid w:val="005E3647"/>
    <w:rsid w:val="005E3F53"/>
    <w:rsid w:val="005E4E75"/>
    <w:rsid w:val="005E676A"/>
    <w:rsid w:val="005E7408"/>
    <w:rsid w:val="005E790A"/>
    <w:rsid w:val="005F0002"/>
    <w:rsid w:val="005F2C3C"/>
    <w:rsid w:val="005F5125"/>
    <w:rsid w:val="005F53BD"/>
    <w:rsid w:val="005F76EA"/>
    <w:rsid w:val="005F7C84"/>
    <w:rsid w:val="00602E00"/>
    <w:rsid w:val="00603156"/>
    <w:rsid w:val="006041D3"/>
    <w:rsid w:val="00605F97"/>
    <w:rsid w:val="00606147"/>
    <w:rsid w:val="00606F3E"/>
    <w:rsid w:val="00610E1A"/>
    <w:rsid w:val="00612BC7"/>
    <w:rsid w:val="00616398"/>
    <w:rsid w:val="006168B0"/>
    <w:rsid w:val="00617620"/>
    <w:rsid w:val="0061765B"/>
    <w:rsid w:val="00617725"/>
    <w:rsid w:val="006177FD"/>
    <w:rsid w:val="006209A6"/>
    <w:rsid w:val="006213B4"/>
    <w:rsid w:val="006228F1"/>
    <w:rsid w:val="00623055"/>
    <w:rsid w:val="00623D25"/>
    <w:rsid w:val="006248D3"/>
    <w:rsid w:val="00624BAE"/>
    <w:rsid w:val="006260F8"/>
    <w:rsid w:val="00626C95"/>
    <w:rsid w:val="0063089A"/>
    <w:rsid w:val="0063127E"/>
    <w:rsid w:val="00631852"/>
    <w:rsid w:val="006319A5"/>
    <w:rsid w:val="00631F00"/>
    <w:rsid w:val="00636B95"/>
    <w:rsid w:val="00640032"/>
    <w:rsid w:val="00640685"/>
    <w:rsid w:val="00640FAC"/>
    <w:rsid w:val="006418CF"/>
    <w:rsid w:val="0064195F"/>
    <w:rsid w:val="006430E5"/>
    <w:rsid w:val="00643D62"/>
    <w:rsid w:val="0064425C"/>
    <w:rsid w:val="00646424"/>
    <w:rsid w:val="0065199A"/>
    <w:rsid w:val="00651B39"/>
    <w:rsid w:val="0065399C"/>
    <w:rsid w:val="00654C85"/>
    <w:rsid w:val="00655204"/>
    <w:rsid w:val="0065543E"/>
    <w:rsid w:val="00655AB2"/>
    <w:rsid w:val="00656D9C"/>
    <w:rsid w:val="006607DA"/>
    <w:rsid w:val="0066196B"/>
    <w:rsid w:val="00662E45"/>
    <w:rsid w:val="00663421"/>
    <w:rsid w:val="0066581B"/>
    <w:rsid w:val="006665E6"/>
    <w:rsid w:val="00667115"/>
    <w:rsid w:val="00667C15"/>
    <w:rsid w:val="0067029F"/>
    <w:rsid w:val="0067096C"/>
    <w:rsid w:val="00670A85"/>
    <w:rsid w:val="00670D28"/>
    <w:rsid w:val="006713E6"/>
    <w:rsid w:val="00672223"/>
    <w:rsid w:val="0067561A"/>
    <w:rsid w:val="00675C3C"/>
    <w:rsid w:val="00677445"/>
    <w:rsid w:val="00680A41"/>
    <w:rsid w:val="006828C8"/>
    <w:rsid w:val="00684945"/>
    <w:rsid w:val="006875C6"/>
    <w:rsid w:val="006907A8"/>
    <w:rsid w:val="00691351"/>
    <w:rsid w:val="0069266A"/>
    <w:rsid w:val="00693885"/>
    <w:rsid w:val="00693912"/>
    <w:rsid w:val="00694D90"/>
    <w:rsid w:val="0069613D"/>
    <w:rsid w:val="00696747"/>
    <w:rsid w:val="00696B75"/>
    <w:rsid w:val="006A05D6"/>
    <w:rsid w:val="006A06D1"/>
    <w:rsid w:val="006A0DDE"/>
    <w:rsid w:val="006A0FA6"/>
    <w:rsid w:val="006A13BA"/>
    <w:rsid w:val="006A27A1"/>
    <w:rsid w:val="006A3621"/>
    <w:rsid w:val="006A46BD"/>
    <w:rsid w:val="006A72CB"/>
    <w:rsid w:val="006B0042"/>
    <w:rsid w:val="006B0B23"/>
    <w:rsid w:val="006B0C43"/>
    <w:rsid w:val="006B0FE0"/>
    <w:rsid w:val="006B52B0"/>
    <w:rsid w:val="006C0196"/>
    <w:rsid w:val="006C1A72"/>
    <w:rsid w:val="006C1B23"/>
    <w:rsid w:val="006C1BEF"/>
    <w:rsid w:val="006C4307"/>
    <w:rsid w:val="006C58BD"/>
    <w:rsid w:val="006C5AB2"/>
    <w:rsid w:val="006C616D"/>
    <w:rsid w:val="006D0A51"/>
    <w:rsid w:val="006D13A3"/>
    <w:rsid w:val="006D17D2"/>
    <w:rsid w:val="006D2B41"/>
    <w:rsid w:val="006D3C21"/>
    <w:rsid w:val="006D48FB"/>
    <w:rsid w:val="006D5ED8"/>
    <w:rsid w:val="006D5FBE"/>
    <w:rsid w:val="006E1109"/>
    <w:rsid w:val="006E11B0"/>
    <w:rsid w:val="006E3D7D"/>
    <w:rsid w:val="006E4198"/>
    <w:rsid w:val="006E4A97"/>
    <w:rsid w:val="006E5330"/>
    <w:rsid w:val="006E6D1A"/>
    <w:rsid w:val="006E7D53"/>
    <w:rsid w:val="006E7F4A"/>
    <w:rsid w:val="006F0F0E"/>
    <w:rsid w:val="006F233D"/>
    <w:rsid w:val="006F3A52"/>
    <w:rsid w:val="006F4977"/>
    <w:rsid w:val="006F4C4C"/>
    <w:rsid w:val="006F5EF4"/>
    <w:rsid w:val="006F7E52"/>
    <w:rsid w:val="006F7EA3"/>
    <w:rsid w:val="00700077"/>
    <w:rsid w:val="00701310"/>
    <w:rsid w:val="0070140D"/>
    <w:rsid w:val="007045A0"/>
    <w:rsid w:val="007049A8"/>
    <w:rsid w:val="00704E56"/>
    <w:rsid w:val="0070505E"/>
    <w:rsid w:val="007055A2"/>
    <w:rsid w:val="00706CE0"/>
    <w:rsid w:val="007070BD"/>
    <w:rsid w:val="007110F3"/>
    <w:rsid w:val="00711A7B"/>
    <w:rsid w:val="00711BF2"/>
    <w:rsid w:val="00712676"/>
    <w:rsid w:val="0071447D"/>
    <w:rsid w:val="007155EE"/>
    <w:rsid w:val="007156F2"/>
    <w:rsid w:val="0071580C"/>
    <w:rsid w:val="00717EDF"/>
    <w:rsid w:val="007203C2"/>
    <w:rsid w:val="00721F89"/>
    <w:rsid w:val="00722771"/>
    <w:rsid w:val="0072285C"/>
    <w:rsid w:val="00723294"/>
    <w:rsid w:val="00723958"/>
    <w:rsid w:val="00724ABA"/>
    <w:rsid w:val="00727177"/>
    <w:rsid w:val="0073060A"/>
    <w:rsid w:val="00731119"/>
    <w:rsid w:val="0073180E"/>
    <w:rsid w:val="00731D0E"/>
    <w:rsid w:val="007322D0"/>
    <w:rsid w:val="0073361A"/>
    <w:rsid w:val="00734F84"/>
    <w:rsid w:val="007375CD"/>
    <w:rsid w:val="00737AB4"/>
    <w:rsid w:val="0074215D"/>
    <w:rsid w:val="00742EA2"/>
    <w:rsid w:val="00744E1E"/>
    <w:rsid w:val="00744FCC"/>
    <w:rsid w:val="00745AEA"/>
    <w:rsid w:val="00745B95"/>
    <w:rsid w:val="00746B85"/>
    <w:rsid w:val="00747A03"/>
    <w:rsid w:val="00747E47"/>
    <w:rsid w:val="00750338"/>
    <w:rsid w:val="00750414"/>
    <w:rsid w:val="00750AC9"/>
    <w:rsid w:val="00753542"/>
    <w:rsid w:val="00754002"/>
    <w:rsid w:val="00754922"/>
    <w:rsid w:val="00755EDE"/>
    <w:rsid w:val="0075646D"/>
    <w:rsid w:val="0075675F"/>
    <w:rsid w:val="00757CBE"/>
    <w:rsid w:val="007604C9"/>
    <w:rsid w:val="007623C7"/>
    <w:rsid w:val="007646BE"/>
    <w:rsid w:val="00765E6B"/>
    <w:rsid w:val="00766531"/>
    <w:rsid w:val="00766A07"/>
    <w:rsid w:val="00766E3D"/>
    <w:rsid w:val="007677A0"/>
    <w:rsid w:val="00767B90"/>
    <w:rsid w:val="007708E0"/>
    <w:rsid w:val="00770D31"/>
    <w:rsid w:val="0077139C"/>
    <w:rsid w:val="00772689"/>
    <w:rsid w:val="00772AF7"/>
    <w:rsid w:val="00772B07"/>
    <w:rsid w:val="00773431"/>
    <w:rsid w:val="00773B68"/>
    <w:rsid w:val="00774014"/>
    <w:rsid w:val="00774B5F"/>
    <w:rsid w:val="0077508A"/>
    <w:rsid w:val="007754E4"/>
    <w:rsid w:val="007819D1"/>
    <w:rsid w:val="007845CA"/>
    <w:rsid w:val="00785208"/>
    <w:rsid w:val="007872F1"/>
    <w:rsid w:val="007900FE"/>
    <w:rsid w:val="00793889"/>
    <w:rsid w:val="00795565"/>
    <w:rsid w:val="00795806"/>
    <w:rsid w:val="00795A45"/>
    <w:rsid w:val="007A0D33"/>
    <w:rsid w:val="007A227C"/>
    <w:rsid w:val="007A2DF8"/>
    <w:rsid w:val="007A30CA"/>
    <w:rsid w:val="007A54EC"/>
    <w:rsid w:val="007A61B2"/>
    <w:rsid w:val="007A6954"/>
    <w:rsid w:val="007A6A43"/>
    <w:rsid w:val="007A763E"/>
    <w:rsid w:val="007B0B04"/>
    <w:rsid w:val="007B17B1"/>
    <w:rsid w:val="007B310C"/>
    <w:rsid w:val="007B3207"/>
    <w:rsid w:val="007B5128"/>
    <w:rsid w:val="007B6382"/>
    <w:rsid w:val="007B7931"/>
    <w:rsid w:val="007B79B8"/>
    <w:rsid w:val="007B7D22"/>
    <w:rsid w:val="007C0DC7"/>
    <w:rsid w:val="007C2588"/>
    <w:rsid w:val="007C2688"/>
    <w:rsid w:val="007C27E3"/>
    <w:rsid w:val="007C2B20"/>
    <w:rsid w:val="007C5451"/>
    <w:rsid w:val="007D1AB3"/>
    <w:rsid w:val="007D3036"/>
    <w:rsid w:val="007D4872"/>
    <w:rsid w:val="007D535C"/>
    <w:rsid w:val="007D63EE"/>
    <w:rsid w:val="007D74EF"/>
    <w:rsid w:val="007D7ACE"/>
    <w:rsid w:val="007E1E3B"/>
    <w:rsid w:val="007E2E45"/>
    <w:rsid w:val="007E39B6"/>
    <w:rsid w:val="007E4CDA"/>
    <w:rsid w:val="007E5D4A"/>
    <w:rsid w:val="007E6B2A"/>
    <w:rsid w:val="007E6BD1"/>
    <w:rsid w:val="007F272D"/>
    <w:rsid w:val="007F493A"/>
    <w:rsid w:val="007F528E"/>
    <w:rsid w:val="007F5A21"/>
    <w:rsid w:val="007F5C86"/>
    <w:rsid w:val="007F603F"/>
    <w:rsid w:val="007F68BF"/>
    <w:rsid w:val="00801B1F"/>
    <w:rsid w:val="00802C51"/>
    <w:rsid w:val="00803787"/>
    <w:rsid w:val="0080394D"/>
    <w:rsid w:val="00803DE4"/>
    <w:rsid w:val="0080421B"/>
    <w:rsid w:val="00806637"/>
    <w:rsid w:val="0080742E"/>
    <w:rsid w:val="00810235"/>
    <w:rsid w:val="00810656"/>
    <w:rsid w:val="00811749"/>
    <w:rsid w:val="00812408"/>
    <w:rsid w:val="00812A7D"/>
    <w:rsid w:val="00812E09"/>
    <w:rsid w:val="00813A51"/>
    <w:rsid w:val="0081444C"/>
    <w:rsid w:val="00815567"/>
    <w:rsid w:val="008156C3"/>
    <w:rsid w:val="0082055A"/>
    <w:rsid w:val="0082403E"/>
    <w:rsid w:val="00824B16"/>
    <w:rsid w:val="00824EE1"/>
    <w:rsid w:val="00825152"/>
    <w:rsid w:val="008257F7"/>
    <w:rsid w:val="008263F9"/>
    <w:rsid w:val="00826C17"/>
    <w:rsid w:val="00832A60"/>
    <w:rsid w:val="00833EE5"/>
    <w:rsid w:val="008344DE"/>
    <w:rsid w:val="0083515D"/>
    <w:rsid w:val="00835290"/>
    <w:rsid w:val="008359D3"/>
    <w:rsid w:val="00835ED1"/>
    <w:rsid w:val="00840701"/>
    <w:rsid w:val="008422BA"/>
    <w:rsid w:val="008422FD"/>
    <w:rsid w:val="00843461"/>
    <w:rsid w:val="00843848"/>
    <w:rsid w:val="008465C0"/>
    <w:rsid w:val="00846E8C"/>
    <w:rsid w:val="008478AD"/>
    <w:rsid w:val="008514A3"/>
    <w:rsid w:val="008532C1"/>
    <w:rsid w:val="008545EA"/>
    <w:rsid w:val="00856713"/>
    <w:rsid w:val="00856733"/>
    <w:rsid w:val="00856824"/>
    <w:rsid w:val="008605EA"/>
    <w:rsid w:val="0086193E"/>
    <w:rsid w:val="00862B01"/>
    <w:rsid w:val="00862D95"/>
    <w:rsid w:val="00862E04"/>
    <w:rsid w:val="00863591"/>
    <w:rsid w:val="008651FD"/>
    <w:rsid w:val="0086632E"/>
    <w:rsid w:val="008727B0"/>
    <w:rsid w:val="00874CA4"/>
    <w:rsid w:val="00874D76"/>
    <w:rsid w:val="008753FC"/>
    <w:rsid w:val="00875DB3"/>
    <w:rsid w:val="00875DF8"/>
    <w:rsid w:val="008769D3"/>
    <w:rsid w:val="0087718B"/>
    <w:rsid w:val="00881336"/>
    <w:rsid w:val="0088311D"/>
    <w:rsid w:val="0088610B"/>
    <w:rsid w:val="0088630F"/>
    <w:rsid w:val="00886447"/>
    <w:rsid w:val="00886A41"/>
    <w:rsid w:val="00887297"/>
    <w:rsid w:val="0089055D"/>
    <w:rsid w:val="00892442"/>
    <w:rsid w:val="00893051"/>
    <w:rsid w:val="008949AE"/>
    <w:rsid w:val="008950A2"/>
    <w:rsid w:val="008953A9"/>
    <w:rsid w:val="00896112"/>
    <w:rsid w:val="0089690C"/>
    <w:rsid w:val="00896ACF"/>
    <w:rsid w:val="00897231"/>
    <w:rsid w:val="00897F53"/>
    <w:rsid w:val="008A21BD"/>
    <w:rsid w:val="008A2F25"/>
    <w:rsid w:val="008A3840"/>
    <w:rsid w:val="008A3AC9"/>
    <w:rsid w:val="008A4B36"/>
    <w:rsid w:val="008A50DB"/>
    <w:rsid w:val="008A522D"/>
    <w:rsid w:val="008A522E"/>
    <w:rsid w:val="008B0969"/>
    <w:rsid w:val="008B26E0"/>
    <w:rsid w:val="008B457F"/>
    <w:rsid w:val="008B4787"/>
    <w:rsid w:val="008B4AC0"/>
    <w:rsid w:val="008B7883"/>
    <w:rsid w:val="008B794D"/>
    <w:rsid w:val="008C052E"/>
    <w:rsid w:val="008C0E39"/>
    <w:rsid w:val="008C2528"/>
    <w:rsid w:val="008C2811"/>
    <w:rsid w:val="008C43C0"/>
    <w:rsid w:val="008C44BB"/>
    <w:rsid w:val="008C77A0"/>
    <w:rsid w:val="008D0A8B"/>
    <w:rsid w:val="008D2529"/>
    <w:rsid w:val="008D2971"/>
    <w:rsid w:val="008D46C7"/>
    <w:rsid w:val="008D4F94"/>
    <w:rsid w:val="008D518E"/>
    <w:rsid w:val="008D78FA"/>
    <w:rsid w:val="008E031E"/>
    <w:rsid w:val="008E0331"/>
    <w:rsid w:val="008E2E4D"/>
    <w:rsid w:val="008E40B6"/>
    <w:rsid w:val="008E6E38"/>
    <w:rsid w:val="008F02A8"/>
    <w:rsid w:val="008F089A"/>
    <w:rsid w:val="008F10B9"/>
    <w:rsid w:val="008F185F"/>
    <w:rsid w:val="008F1A7B"/>
    <w:rsid w:val="008F23C6"/>
    <w:rsid w:val="008F27AF"/>
    <w:rsid w:val="008F6138"/>
    <w:rsid w:val="008F7F95"/>
    <w:rsid w:val="009011DD"/>
    <w:rsid w:val="00903EBF"/>
    <w:rsid w:val="00907F8A"/>
    <w:rsid w:val="00911039"/>
    <w:rsid w:val="009112ED"/>
    <w:rsid w:val="00911DBF"/>
    <w:rsid w:val="009128E3"/>
    <w:rsid w:val="00912BD5"/>
    <w:rsid w:val="00913BA4"/>
    <w:rsid w:val="009151A6"/>
    <w:rsid w:val="009163A6"/>
    <w:rsid w:val="009163BC"/>
    <w:rsid w:val="009166E4"/>
    <w:rsid w:val="00916BC1"/>
    <w:rsid w:val="00921706"/>
    <w:rsid w:val="0092182B"/>
    <w:rsid w:val="00922F8F"/>
    <w:rsid w:val="00923BF7"/>
    <w:rsid w:val="009243FB"/>
    <w:rsid w:val="0092583B"/>
    <w:rsid w:val="00925B77"/>
    <w:rsid w:val="00926F50"/>
    <w:rsid w:val="009279DA"/>
    <w:rsid w:val="0093227D"/>
    <w:rsid w:val="0093363A"/>
    <w:rsid w:val="00933E16"/>
    <w:rsid w:val="00935A3E"/>
    <w:rsid w:val="0093637F"/>
    <w:rsid w:val="00936D4B"/>
    <w:rsid w:val="009375F7"/>
    <w:rsid w:val="00937C34"/>
    <w:rsid w:val="00943D7F"/>
    <w:rsid w:val="00945189"/>
    <w:rsid w:val="00946515"/>
    <w:rsid w:val="00946B26"/>
    <w:rsid w:val="00946C67"/>
    <w:rsid w:val="0094756A"/>
    <w:rsid w:val="009504D4"/>
    <w:rsid w:val="009504F4"/>
    <w:rsid w:val="00952FDE"/>
    <w:rsid w:val="0095409F"/>
    <w:rsid w:val="00954793"/>
    <w:rsid w:val="00955080"/>
    <w:rsid w:val="00956B1A"/>
    <w:rsid w:val="009601BC"/>
    <w:rsid w:val="00962665"/>
    <w:rsid w:val="00963F92"/>
    <w:rsid w:val="00964194"/>
    <w:rsid w:val="00964C01"/>
    <w:rsid w:val="00964EF0"/>
    <w:rsid w:val="009658C3"/>
    <w:rsid w:val="009661D4"/>
    <w:rsid w:val="009665A7"/>
    <w:rsid w:val="00972400"/>
    <w:rsid w:val="00972BA0"/>
    <w:rsid w:val="00972C9D"/>
    <w:rsid w:val="009737E1"/>
    <w:rsid w:val="0097418B"/>
    <w:rsid w:val="009742EC"/>
    <w:rsid w:val="00974A07"/>
    <w:rsid w:val="00975CB6"/>
    <w:rsid w:val="00976842"/>
    <w:rsid w:val="009770C9"/>
    <w:rsid w:val="00977D1F"/>
    <w:rsid w:val="00977EFC"/>
    <w:rsid w:val="0098100F"/>
    <w:rsid w:val="0098134F"/>
    <w:rsid w:val="00986158"/>
    <w:rsid w:val="00986D2A"/>
    <w:rsid w:val="009912D2"/>
    <w:rsid w:val="009957F1"/>
    <w:rsid w:val="0099721B"/>
    <w:rsid w:val="009A07AA"/>
    <w:rsid w:val="009A1500"/>
    <w:rsid w:val="009A3904"/>
    <w:rsid w:val="009A4AF8"/>
    <w:rsid w:val="009A4E29"/>
    <w:rsid w:val="009A4FE9"/>
    <w:rsid w:val="009A56C9"/>
    <w:rsid w:val="009A595A"/>
    <w:rsid w:val="009A6F7F"/>
    <w:rsid w:val="009B0EA9"/>
    <w:rsid w:val="009B1152"/>
    <w:rsid w:val="009B23A3"/>
    <w:rsid w:val="009B4831"/>
    <w:rsid w:val="009B5E73"/>
    <w:rsid w:val="009B6C81"/>
    <w:rsid w:val="009C152E"/>
    <w:rsid w:val="009C1A4F"/>
    <w:rsid w:val="009C1B44"/>
    <w:rsid w:val="009C2D77"/>
    <w:rsid w:val="009C2FC2"/>
    <w:rsid w:val="009C35B3"/>
    <w:rsid w:val="009D0591"/>
    <w:rsid w:val="009D4449"/>
    <w:rsid w:val="009D46D7"/>
    <w:rsid w:val="009D544B"/>
    <w:rsid w:val="009D6EA2"/>
    <w:rsid w:val="009D795D"/>
    <w:rsid w:val="009D7ECD"/>
    <w:rsid w:val="009E071A"/>
    <w:rsid w:val="009E153D"/>
    <w:rsid w:val="009E1EE9"/>
    <w:rsid w:val="009E69C4"/>
    <w:rsid w:val="009F04CB"/>
    <w:rsid w:val="009F0F44"/>
    <w:rsid w:val="009F10EC"/>
    <w:rsid w:val="009F11A3"/>
    <w:rsid w:val="009F175A"/>
    <w:rsid w:val="009F1A53"/>
    <w:rsid w:val="009F2A56"/>
    <w:rsid w:val="009F3AA1"/>
    <w:rsid w:val="009F3AE1"/>
    <w:rsid w:val="009F5F2B"/>
    <w:rsid w:val="009F7748"/>
    <w:rsid w:val="009F7932"/>
    <w:rsid w:val="00A01E43"/>
    <w:rsid w:val="00A036DB"/>
    <w:rsid w:val="00A0653F"/>
    <w:rsid w:val="00A10519"/>
    <w:rsid w:val="00A1266E"/>
    <w:rsid w:val="00A12876"/>
    <w:rsid w:val="00A12EE6"/>
    <w:rsid w:val="00A12F7A"/>
    <w:rsid w:val="00A13211"/>
    <w:rsid w:val="00A1414B"/>
    <w:rsid w:val="00A14EFE"/>
    <w:rsid w:val="00A1583B"/>
    <w:rsid w:val="00A21D05"/>
    <w:rsid w:val="00A228E3"/>
    <w:rsid w:val="00A2308B"/>
    <w:rsid w:val="00A24A69"/>
    <w:rsid w:val="00A24F3F"/>
    <w:rsid w:val="00A254B9"/>
    <w:rsid w:val="00A264AA"/>
    <w:rsid w:val="00A26721"/>
    <w:rsid w:val="00A273D7"/>
    <w:rsid w:val="00A27951"/>
    <w:rsid w:val="00A318D2"/>
    <w:rsid w:val="00A31CA1"/>
    <w:rsid w:val="00A31E12"/>
    <w:rsid w:val="00A33841"/>
    <w:rsid w:val="00A36E73"/>
    <w:rsid w:val="00A37B3D"/>
    <w:rsid w:val="00A406A4"/>
    <w:rsid w:val="00A4151D"/>
    <w:rsid w:val="00A41EDC"/>
    <w:rsid w:val="00A42A70"/>
    <w:rsid w:val="00A45486"/>
    <w:rsid w:val="00A46712"/>
    <w:rsid w:val="00A471CB"/>
    <w:rsid w:val="00A47660"/>
    <w:rsid w:val="00A51108"/>
    <w:rsid w:val="00A531AE"/>
    <w:rsid w:val="00A54BA3"/>
    <w:rsid w:val="00A56BA2"/>
    <w:rsid w:val="00A617EC"/>
    <w:rsid w:val="00A61DDB"/>
    <w:rsid w:val="00A61EAC"/>
    <w:rsid w:val="00A625C7"/>
    <w:rsid w:val="00A62D0B"/>
    <w:rsid w:val="00A6467E"/>
    <w:rsid w:val="00A65A28"/>
    <w:rsid w:val="00A67E5C"/>
    <w:rsid w:val="00A72245"/>
    <w:rsid w:val="00A75CD1"/>
    <w:rsid w:val="00A75FAC"/>
    <w:rsid w:val="00A76FA4"/>
    <w:rsid w:val="00A775E3"/>
    <w:rsid w:val="00A82531"/>
    <w:rsid w:val="00A8351A"/>
    <w:rsid w:val="00A83C83"/>
    <w:rsid w:val="00A83FB4"/>
    <w:rsid w:val="00A8752B"/>
    <w:rsid w:val="00A901F9"/>
    <w:rsid w:val="00A90E4F"/>
    <w:rsid w:val="00A91AA6"/>
    <w:rsid w:val="00A941EB"/>
    <w:rsid w:val="00A94635"/>
    <w:rsid w:val="00A94EBA"/>
    <w:rsid w:val="00A97E07"/>
    <w:rsid w:val="00AA0038"/>
    <w:rsid w:val="00AA2DB8"/>
    <w:rsid w:val="00AA3E78"/>
    <w:rsid w:val="00AA47DC"/>
    <w:rsid w:val="00AA4B14"/>
    <w:rsid w:val="00AA4BB1"/>
    <w:rsid w:val="00AA6869"/>
    <w:rsid w:val="00AA6F43"/>
    <w:rsid w:val="00AA6FAF"/>
    <w:rsid w:val="00AA70B7"/>
    <w:rsid w:val="00AB1761"/>
    <w:rsid w:val="00AB1A18"/>
    <w:rsid w:val="00AB55BA"/>
    <w:rsid w:val="00AB6D23"/>
    <w:rsid w:val="00AB7091"/>
    <w:rsid w:val="00AB7612"/>
    <w:rsid w:val="00AB7ED5"/>
    <w:rsid w:val="00AC0494"/>
    <w:rsid w:val="00AC2C9E"/>
    <w:rsid w:val="00AC36C2"/>
    <w:rsid w:val="00AC5002"/>
    <w:rsid w:val="00AC69A1"/>
    <w:rsid w:val="00AC6C9E"/>
    <w:rsid w:val="00AC7B61"/>
    <w:rsid w:val="00AC7CF1"/>
    <w:rsid w:val="00AD13C6"/>
    <w:rsid w:val="00AD1B4B"/>
    <w:rsid w:val="00AD278F"/>
    <w:rsid w:val="00AD30DB"/>
    <w:rsid w:val="00AD376D"/>
    <w:rsid w:val="00AD3A0F"/>
    <w:rsid w:val="00AD5172"/>
    <w:rsid w:val="00AD5B62"/>
    <w:rsid w:val="00AD5F50"/>
    <w:rsid w:val="00AD6293"/>
    <w:rsid w:val="00AD7082"/>
    <w:rsid w:val="00AE002C"/>
    <w:rsid w:val="00AE10B8"/>
    <w:rsid w:val="00AE1CFB"/>
    <w:rsid w:val="00AE2B71"/>
    <w:rsid w:val="00AE2FEA"/>
    <w:rsid w:val="00AE4936"/>
    <w:rsid w:val="00AE76D9"/>
    <w:rsid w:val="00AE7B17"/>
    <w:rsid w:val="00AE7E71"/>
    <w:rsid w:val="00AF1800"/>
    <w:rsid w:val="00AF1CF5"/>
    <w:rsid w:val="00AF1DFF"/>
    <w:rsid w:val="00AF1E4F"/>
    <w:rsid w:val="00AF33E5"/>
    <w:rsid w:val="00AF4722"/>
    <w:rsid w:val="00AF52BF"/>
    <w:rsid w:val="00AF6C55"/>
    <w:rsid w:val="00AF6E7B"/>
    <w:rsid w:val="00AF75DB"/>
    <w:rsid w:val="00B00443"/>
    <w:rsid w:val="00B01477"/>
    <w:rsid w:val="00B040B3"/>
    <w:rsid w:val="00B05A7D"/>
    <w:rsid w:val="00B06364"/>
    <w:rsid w:val="00B068B0"/>
    <w:rsid w:val="00B10139"/>
    <w:rsid w:val="00B14865"/>
    <w:rsid w:val="00B17774"/>
    <w:rsid w:val="00B17D9B"/>
    <w:rsid w:val="00B22E1B"/>
    <w:rsid w:val="00B24B09"/>
    <w:rsid w:val="00B253BA"/>
    <w:rsid w:val="00B25E04"/>
    <w:rsid w:val="00B26285"/>
    <w:rsid w:val="00B263CA"/>
    <w:rsid w:val="00B26BCA"/>
    <w:rsid w:val="00B26E94"/>
    <w:rsid w:val="00B27C02"/>
    <w:rsid w:val="00B27E16"/>
    <w:rsid w:val="00B30939"/>
    <w:rsid w:val="00B3151F"/>
    <w:rsid w:val="00B31811"/>
    <w:rsid w:val="00B318CC"/>
    <w:rsid w:val="00B31A42"/>
    <w:rsid w:val="00B31B60"/>
    <w:rsid w:val="00B33B8A"/>
    <w:rsid w:val="00B341E9"/>
    <w:rsid w:val="00B3463B"/>
    <w:rsid w:val="00B37A62"/>
    <w:rsid w:val="00B40D77"/>
    <w:rsid w:val="00B422E5"/>
    <w:rsid w:val="00B427FB"/>
    <w:rsid w:val="00B42A48"/>
    <w:rsid w:val="00B42D29"/>
    <w:rsid w:val="00B42E21"/>
    <w:rsid w:val="00B436E3"/>
    <w:rsid w:val="00B45660"/>
    <w:rsid w:val="00B46D37"/>
    <w:rsid w:val="00B51142"/>
    <w:rsid w:val="00B51F25"/>
    <w:rsid w:val="00B52142"/>
    <w:rsid w:val="00B53680"/>
    <w:rsid w:val="00B548A0"/>
    <w:rsid w:val="00B54DF7"/>
    <w:rsid w:val="00B5587E"/>
    <w:rsid w:val="00B55D56"/>
    <w:rsid w:val="00B575A4"/>
    <w:rsid w:val="00B60A80"/>
    <w:rsid w:val="00B61D64"/>
    <w:rsid w:val="00B663EB"/>
    <w:rsid w:val="00B677AF"/>
    <w:rsid w:val="00B67C80"/>
    <w:rsid w:val="00B7002B"/>
    <w:rsid w:val="00B714F1"/>
    <w:rsid w:val="00B72D68"/>
    <w:rsid w:val="00B73CA9"/>
    <w:rsid w:val="00B75D38"/>
    <w:rsid w:val="00B81100"/>
    <w:rsid w:val="00B83071"/>
    <w:rsid w:val="00B83F2A"/>
    <w:rsid w:val="00B85309"/>
    <w:rsid w:val="00B85B97"/>
    <w:rsid w:val="00B86190"/>
    <w:rsid w:val="00B861BE"/>
    <w:rsid w:val="00B87679"/>
    <w:rsid w:val="00B9125A"/>
    <w:rsid w:val="00B912BC"/>
    <w:rsid w:val="00B91AB2"/>
    <w:rsid w:val="00B91C91"/>
    <w:rsid w:val="00B96B4B"/>
    <w:rsid w:val="00BA0116"/>
    <w:rsid w:val="00BA04E2"/>
    <w:rsid w:val="00BA0671"/>
    <w:rsid w:val="00BA1B79"/>
    <w:rsid w:val="00BA2E12"/>
    <w:rsid w:val="00BA2E99"/>
    <w:rsid w:val="00BA2F2E"/>
    <w:rsid w:val="00BA3BD2"/>
    <w:rsid w:val="00BA3F4F"/>
    <w:rsid w:val="00BA449F"/>
    <w:rsid w:val="00BA4859"/>
    <w:rsid w:val="00BA6DCE"/>
    <w:rsid w:val="00BA7123"/>
    <w:rsid w:val="00BB0C16"/>
    <w:rsid w:val="00BB16D0"/>
    <w:rsid w:val="00BB1FA2"/>
    <w:rsid w:val="00BB3FDB"/>
    <w:rsid w:val="00BB41B1"/>
    <w:rsid w:val="00BB72FC"/>
    <w:rsid w:val="00BC0736"/>
    <w:rsid w:val="00BC1677"/>
    <w:rsid w:val="00BC1A4C"/>
    <w:rsid w:val="00BC2CA6"/>
    <w:rsid w:val="00BC49D0"/>
    <w:rsid w:val="00BC504F"/>
    <w:rsid w:val="00BC636F"/>
    <w:rsid w:val="00BC662E"/>
    <w:rsid w:val="00BC79C1"/>
    <w:rsid w:val="00BD0072"/>
    <w:rsid w:val="00BD0B5F"/>
    <w:rsid w:val="00BD178F"/>
    <w:rsid w:val="00BD1C9C"/>
    <w:rsid w:val="00BD2ADD"/>
    <w:rsid w:val="00BD3DA8"/>
    <w:rsid w:val="00BD5148"/>
    <w:rsid w:val="00BD5C4D"/>
    <w:rsid w:val="00BD60FF"/>
    <w:rsid w:val="00BD649F"/>
    <w:rsid w:val="00BD6C32"/>
    <w:rsid w:val="00BE1464"/>
    <w:rsid w:val="00BE236D"/>
    <w:rsid w:val="00BE27C2"/>
    <w:rsid w:val="00BE309C"/>
    <w:rsid w:val="00BE31C3"/>
    <w:rsid w:val="00BE3F5A"/>
    <w:rsid w:val="00BE5A39"/>
    <w:rsid w:val="00BE5B78"/>
    <w:rsid w:val="00BE5BAA"/>
    <w:rsid w:val="00BF1047"/>
    <w:rsid w:val="00BF24DE"/>
    <w:rsid w:val="00BF545A"/>
    <w:rsid w:val="00BF5E2F"/>
    <w:rsid w:val="00BF7A01"/>
    <w:rsid w:val="00C01252"/>
    <w:rsid w:val="00C02490"/>
    <w:rsid w:val="00C10B9D"/>
    <w:rsid w:val="00C10DFB"/>
    <w:rsid w:val="00C115DA"/>
    <w:rsid w:val="00C119C5"/>
    <w:rsid w:val="00C132E8"/>
    <w:rsid w:val="00C13DAC"/>
    <w:rsid w:val="00C13DDA"/>
    <w:rsid w:val="00C15915"/>
    <w:rsid w:val="00C15A9D"/>
    <w:rsid w:val="00C1766D"/>
    <w:rsid w:val="00C176A3"/>
    <w:rsid w:val="00C17E41"/>
    <w:rsid w:val="00C2580B"/>
    <w:rsid w:val="00C2676B"/>
    <w:rsid w:val="00C2711F"/>
    <w:rsid w:val="00C27A09"/>
    <w:rsid w:val="00C3114D"/>
    <w:rsid w:val="00C33A2F"/>
    <w:rsid w:val="00C34C37"/>
    <w:rsid w:val="00C35585"/>
    <w:rsid w:val="00C37153"/>
    <w:rsid w:val="00C37E82"/>
    <w:rsid w:val="00C43257"/>
    <w:rsid w:val="00C432EA"/>
    <w:rsid w:val="00C4340E"/>
    <w:rsid w:val="00C4359B"/>
    <w:rsid w:val="00C44705"/>
    <w:rsid w:val="00C44B23"/>
    <w:rsid w:val="00C46A27"/>
    <w:rsid w:val="00C47E2A"/>
    <w:rsid w:val="00C53343"/>
    <w:rsid w:val="00C536AE"/>
    <w:rsid w:val="00C54185"/>
    <w:rsid w:val="00C5436A"/>
    <w:rsid w:val="00C54F19"/>
    <w:rsid w:val="00C55E95"/>
    <w:rsid w:val="00C57640"/>
    <w:rsid w:val="00C57DE5"/>
    <w:rsid w:val="00C57F22"/>
    <w:rsid w:val="00C60EAD"/>
    <w:rsid w:val="00C6400D"/>
    <w:rsid w:val="00C65A68"/>
    <w:rsid w:val="00C65C37"/>
    <w:rsid w:val="00C65E52"/>
    <w:rsid w:val="00C66085"/>
    <w:rsid w:val="00C711BC"/>
    <w:rsid w:val="00C716F6"/>
    <w:rsid w:val="00C71776"/>
    <w:rsid w:val="00C717A1"/>
    <w:rsid w:val="00C71F67"/>
    <w:rsid w:val="00C73A58"/>
    <w:rsid w:val="00C743D3"/>
    <w:rsid w:val="00C749F9"/>
    <w:rsid w:val="00C74F58"/>
    <w:rsid w:val="00C76FC4"/>
    <w:rsid w:val="00C7712E"/>
    <w:rsid w:val="00C80171"/>
    <w:rsid w:val="00C803EA"/>
    <w:rsid w:val="00C80510"/>
    <w:rsid w:val="00C810CF"/>
    <w:rsid w:val="00C819F6"/>
    <w:rsid w:val="00C83163"/>
    <w:rsid w:val="00C83EC4"/>
    <w:rsid w:val="00C84227"/>
    <w:rsid w:val="00C854DE"/>
    <w:rsid w:val="00C91EAE"/>
    <w:rsid w:val="00C930BA"/>
    <w:rsid w:val="00C93538"/>
    <w:rsid w:val="00C93AA8"/>
    <w:rsid w:val="00C94568"/>
    <w:rsid w:val="00C9510B"/>
    <w:rsid w:val="00CA0B7D"/>
    <w:rsid w:val="00CA15B3"/>
    <w:rsid w:val="00CA2A6E"/>
    <w:rsid w:val="00CA33F3"/>
    <w:rsid w:val="00CA603A"/>
    <w:rsid w:val="00CA7A31"/>
    <w:rsid w:val="00CB1634"/>
    <w:rsid w:val="00CB2199"/>
    <w:rsid w:val="00CB222B"/>
    <w:rsid w:val="00CB4EB9"/>
    <w:rsid w:val="00CB766C"/>
    <w:rsid w:val="00CB7ED3"/>
    <w:rsid w:val="00CC0643"/>
    <w:rsid w:val="00CC1D97"/>
    <w:rsid w:val="00CC2DC2"/>
    <w:rsid w:val="00CC3F80"/>
    <w:rsid w:val="00CC4A09"/>
    <w:rsid w:val="00CC4E32"/>
    <w:rsid w:val="00CC593E"/>
    <w:rsid w:val="00CC60AB"/>
    <w:rsid w:val="00CD0B7A"/>
    <w:rsid w:val="00CD10F5"/>
    <w:rsid w:val="00CD1112"/>
    <w:rsid w:val="00CD1685"/>
    <w:rsid w:val="00CD1DF1"/>
    <w:rsid w:val="00CD29B7"/>
    <w:rsid w:val="00CD2F60"/>
    <w:rsid w:val="00CD388E"/>
    <w:rsid w:val="00CD4F84"/>
    <w:rsid w:val="00CD52D5"/>
    <w:rsid w:val="00CD5453"/>
    <w:rsid w:val="00CD7252"/>
    <w:rsid w:val="00CD75ED"/>
    <w:rsid w:val="00CD7DF1"/>
    <w:rsid w:val="00CD7F2A"/>
    <w:rsid w:val="00CE20EB"/>
    <w:rsid w:val="00CE4079"/>
    <w:rsid w:val="00CE4341"/>
    <w:rsid w:val="00CE498B"/>
    <w:rsid w:val="00CE6E79"/>
    <w:rsid w:val="00CE7F34"/>
    <w:rsid w:val="00CF0641"/>
    <w:rsid w:val="00CF25FE"/>
    <w:rsid w:val="00CF2643"/>
    <w:rsid w:val="00CF2C0E"/>
    <w:rsid w:val="00CF2D19"/>
    <w:rsid w:val="00CF530C"/>
    <w:rsid w:val="00CF5617"/>
    <w:rsid w:val="00CF5B2B"/>
    <w:rsid w:val="00CF6E58"/>
    <w:rsid w:val="00D01989"/>
    <w:rsid w:val="00D02B56"/>
    <w:rsid w:val="00D04DC1"/>
    <w:rsid w:val="00D04E2F"/>
    <w:rsid w:val="00D06AE9"/>
    <w:rsid w:val="00D1200F"/>
    <w:rsid w:val="00D1354D"/>
    <w:rsid w:val="00D13B75"/>
    <w:rsid w:val="00D14B25"/>
    <w:rsid w:val="00D14D41"/>
    <w:rsid w:val="00D16203"/>
    <w:rsid w:val="00D163CA"/>
    <w:rsid w:val="00D17432"/>
    <w:rsid w:val="00D17613"/>
    <w:rsid w:val="00D178C4"/>
    <w:rsid w:val="00D21D8E"/>
    <w:rsid w:val="00D23BF0"/>
    <w:rsid w:val="00D27CE2"/>
    <w:rsid w:val="00D3134E"/>
    <w:rsid w:val="00D31696"/>
    <w:rsid w:val="00D325EE"/>
    <w:rsid w:val="00D32B1D"/>
    <w:rsid w:val="00D34A02"/>
    <w:rsid w:val="00D34D7E"/>
    <w:rsid w:val="00D3647C"/>
    <w:rsid w:val="00D365E6"/>
    <w:rsid w:val="00D371FA"/>
    <w:rsid w:val="00D4179C"/>
    <w:rsid w:val="00D43D5E"/>
    <w:rsid w:val="00D44981"/>
    <w:rsid w:val="00D44B9E"/>
    <w:rsid w:val="00D451E1"/>
    <w:rsid w:val="00D46272"/>
    <w:rsid w:val="00D46961"/>
    <w:rsid w:val="00D50C05"/>
    <w:rsid w:val="00D518CF"/>
    <w:rsid w:val="00D548FE"/>
    <w:rsid w:val="00D55D92"/>
    <w:rsid w:val="00D57A48"/>
    <w:rsid w:val="00D60CDF"/>
    <w:rsid w:val="00D60FC1"/>
    <w:rsid w:val="00D61184"/>
    <w:rsid w:val="00D61343"/>
    <w:rsid w:val="00D61622"/>
    <w:rsid w:val="00D61DBC"/>
    <w:rsid w:val="00D624C1"/>
    <w:rsid w:val="00D636BE"/>
    <w:rsid w:val="00D63C29"/>
    <w:rsid w:val="00D6582F"/>
    <w:rsid w:val="00D66343"/>
    <w:rsid w:val="00D66820"/>
    <w:rsid w:val="00D6723E"/>
    <w:rsid w:val="00D70274"/>
    <w:rsid w:val="00D71B3C"/>
    <w:rsid w:val="00D72396"/>
    <w:rsid w:val="00D7292D"/>
    <w:rsid w:val="00D73ED9"/>
    <w:rsid w:val="00D7434F"/>
    <w:rsid w:val="00D74C23"/>
    <w:rsid w:val="00D74F4C"/>
    <w:rsid w:val="00D750B8"/>
    <w:rsid w:val="00D7581D"/>
    <w:rsid w:val="00D75840"/>
    <w:rsid w:val="00D75ECA"/>
    <w:rsid w:val="00D76885"/>
    <w:rsid w:val="00D7777B"/>
    <w:rsid w:val="00D81420"/>
    <w:rsid w:val="00D83040"/>
    <w:rsid w:val="00D83206"/>
    <w:rsid w:val="00D85CE1"/>
    <w:rsid w:val="00D871E5"/>
    <w:rsid w:val="00D8789E"/>
    <w:rsid w:val="00D9074F"/>
    <w:rsid w:val="00D90C81"/>
    <w:rsid w:val="00D91111"/>
    <w:rsid w:val="00D9147E"/>
    <w:rsid w:val="00D95A73"/>
    <w:rsid w:val="00D964DA"/>
    <w:rsid w:val="00D9666C"/>
    <w:rsid w:val="00DA024D"/>
    <w:rsid w:val="00DA0C27"/>
    <w:rsid w:val="00DA44FA"/>
    <w:rsid w:val="00DA53CB"/>
    <w:rsid w:val="00DA6C00"/>
    <w:rsid w:val="00DB0F46"/>
    <w:rsid w:val="00DB1914"/>
    <w:rsid w:val="00DB22F3"/>
    <w:rsid w:val="00DB3DB0"/>
    <w:rsid w:val="00DB46E2"/>
    <w:rsid w:val="00DB4FDA"/>
    <w:rsid w:val="00DB5049"/>
    <w:rsid w:val="00DB6579"/>
    <w:rsid w:val="00DB7EAC"/>
    <w:rsid w:val="00DC067B"/>
    <w:rsid w:val="00DC06D1"/>
    <w:rsid w:val="00DC126A"/>
    <w:rsid w:val="00DC15AE"/>
    <w:rsid w:val="00DC77EF"/>
    <w:rsid w:val="00DC7881"/>
    <w:rsid w:val="00DD2ED6"/>
    <w:rsid w:val="00DD492A"/>
    <w:rsid w:val="00DD6E19"/>
    <w:rsid w:val="00DE0D31"/>
    <w:rsid w:val="00DE35F6"/>
    <w:rsid w:val="00DE48F3"/>
    <w:rsid w:val="00DE55C2"/>
    <w:rsid w:val="00DE5D84"/>
    <w:rsid w:val="00DE60A1"/>
    <w:rsid w:val="00DE64D7"/>
    <w:rsid w:val="00DF02BC"/>
    <w:rsid w:val="00DF3380"/>
    <w:rsid w:val="00DF4EA7"/>
    <w:rsid w:val="00DF631D"/>
    <w:rsid w:val="00DF75C2"/>
    <w:rsid w:val="00E00E3D"/>
    <w:rsid w:val="00E01445"/>
    <w:rsid w:val="00E020C2"/>
    <w:rsid w:val="00E035BF"/>
    <w:rsid w:val="00E04960"/>
    <w:rsid w:val="00E05F15"/>
    <w:rsid w:val="00E10892"/>
    <w:rsid w:val="00E11E94"/>
    <w:rsid w:val="00E12112"/>
    <w:rsid w:val="00E14A82"/>
    <w:rsid w:val="00E21BCF"/>
    <w:rsid w:val="00E23862"/>
    <w:rsid w:val="00E23DBE"/>
    <w:rsid w:val="00E23F6B"/>
    <w:rsid w:val="00E245FB"/>
    <w:rsid w:val="00E24FCA"/>
    <w:rsid w:val="00E25AEA"/>
    <w:rsid w:val="00E3010D"/>
    <w:rsid w:val="00E314D5"/>
    <w:rsid w:val="00E3285A"/>
    <w:rsid w:val="00E338F9"/>
    <w:rsid w:val="00E33B0E"/>
    <w:rsid w:val="00E33FD6"/>
    <w:rsid w:val="00E3421A"/>
    <w:rsid w:val="00E3756E"/>
    <w:rsid w:val="00E434AA"/>
    <w:rsid w:val="00E44A30"/>
    <w:rsid w:val="00E44EBC"/>
    <w:rsid w:val="00E45C5E"/>
    <w:rsid w:val="00E469EC"/>
    <w:rsid w:val="00E50656"/>
    <w:rsid w:val="00E51832"/>
    <w:rsid w:val="00E528C3"/>
    <w:rsid w:val="00E53635"/>
    <w:rsid w:val="00E5385B"/>
    <w:rsid w:val="00E5531F"/>
    <w:rsid w:val="00E55BA3"/>
    <w:rsid w:val="00E562FD"/>
    <w:rsid w:val="00E56A6F"/>
    <w:rsid w:val="00E57FBE"/>
    <w:rsid w:val="00E6068A"/>
    <w:rsid w:val="00E60A59"/>
    <w:rsid w:val="00E614AD"/>
    <w:rsid w:val="00E637E4"/>
    <w:rsid w:val="00E637EB"/>
    <w:rsid w:val="00E679CA"/>
    <w:rsid w:val="00E703E1"/>
    <w:rsid w:val="00E70501"/>
    <w:rsid w:val="00E71F7C"/>
    <w:rsid w:val="00E72843"/>
    <w:rsid w:val="00E74476"/>
    <w:rsid w:val="00E74E50"/>
    <w:rsid w:val="00E74FE1"/>
    <w:rsid w:val="00E76C04"/>
    <w:rsid w:val="00E81B9F"/>
    <w:rsid w:val="00E85792"/>
    <w:rsid w:val="00E903C4"/>
    <w:rsid w:val="00E90675"/>
    <w:rsid w:val="00E90943"/>
    <w:rsid w:val="00E92D21"/>
    <w:rsid w:val="00E9484C"/>
    <w:rsid w:val="00E948E1"/>
    <w:rsid w:val="00E94B9B"/>
    <w:rsid w:val="00E97284"/>
    <w:rsid w:val="00EA0424"/>
    <w:rsid w:val="00EA0618"/>
    <w:rsid w:val="00EA241B"/>
    <w:rsid w:val="00EA3815"/>
    <w:rsid w:val="00EA3896"/>
    <w:rsid w:val="00EA4F4E"/>
    <w:rsid w:val="00EA559C"/>
    <w:rsid w:val="00EA5BB7"/>
    <w:rsid w:val="00EA5FFC"/>
    <w:rsid w:val="00EB1704"/>
    <w:rsid w:val="00EB74CC"/>
    <w:rsid w:val="00EB7D46"/>
    <w:rsid w:val="00EC04C0"/>
    <w:rsid w:val="00EC0B05"/>
    <w:rsid w:val="00EC0F5E"/>
    <w:rsid w:val="00EC186D"/>
    <w:rsid w:val="00EC24DF"/>
    <w:rsid w:val="00EC3790"/>
    <w:rsid w:val="00EC5903"/>
    <w:rsid w:val="00ED5861"/>
    <w:rsid w:val="00EE0AF8"/>
    <w:rsid w:val="00EE0BB9"/>
    <w:rsid w:val="00EE17B3"/>
    <w:rsid w:val="00EE1F6D"/>
    <w:rsid w:val="00EE2075"/>
    <w:rsid w:val="00EE297B"/>
    <w:rsid w:val="00EE3A0F"/>
    <w:rsid w:val="00EE48B1"/>
    <w:rsid w:val="00EE5C4B"/>
    <w:rsid w:val="00EE603C"/>
    <w:rsid w:val="00EF16DC"/>
    <w:rsid w:val="00EF255E"/>
    <w:rsid w:val="00EF2F03"/>
    <w:rsid w:val="00EF468D"/>
    <w:rsid w:val="00EF5CC1"/>
    <w:rsid w:val="00EF66E3"/>
    <w:rsid w:val="00EF7230"/>
    <w:rsid w:val="00EF7602"/>
    <w:rsid w:val="00F01488"/>
    <w:rsid w:val="00F030A3"/>
    <w:rsid w:val="00F04171"/>
    <w:rsid w:val="00F04808"/>
    <w:rsid w:val="00F07B5D"/>
    <w:rsid w:val="00F07BE5"/>
    <w:rsid w:val="00F1017D"/>
    <w:rsid w:val="00F11DFC"/>
    <w:rsid w:val="00F12CE6"/>
    <w:rsid w:val="00F131EB"/>
    <w:rsid w:val="00F13582"/>
    <w:rsid w:val="00F15234"/>
    <w:rsid w:val="00F178A5"/>
    <w:rsid w:val="00F17C1A"/>
    <w:rsid w:val="00F17E36"/>
    <w:rsid w:val="00F21E7E"/>
    <w:rsid w:val="00F2285A"/>
    <w:rsid w:val="00F23B34"/>
    <w:rsid w:val="00F23D11"/>
    <w:rsid w:val="00F26900"/>
    <w:rsid w:val="00F269F8"/>
    <w:rsid w:val="00F311A5"/>
    <w:rsid w:val="00F322D7"/>
    <w:rsid w:val="00F323EA"/>
    <w:rsid w:val="00F33024"/>
    <w:rsid w:val="00F33DD0"/>
    <w:rsid w:val="00F34CA2"/>
    <w:rsid w:val="00F3648A"/>
    <w:rsid w:val="00F37496"/>
    <w:rsid w:val="00F40AD1"/>
    <w:rsid w:val="00F4114B"/>
    <w:rsid w:val="00F412A8"/>
    <w:rsid w:val="00F41753"/>
    <w:rsid w:val="00F42026"/>
    <w:rsid w:val="00F46D06"/>
    <w:rsid w:val="00F51071"/>
    <w:rsid w:val="00F52620"/>
    <w:rsid w:val="00F5289B"/>
    <w:rsid w:val="00F5524A"/>
    <w:rsid w:val="00F6032B"/>
    <w:rsid w:val="00F6077B"/>
    <w:rsid w:val="00F60F68"/>
    <w:rsid w:val="00F61048"/>
    <w:rsid w:val="00F647A6"/>
    <w:rsid w:val="00F66FF3"/>
    <w:rsid w:val="00F700E0"/>
    <w:rsid w:val="00F7232F"/>
    <w:rsid w:val="00F72D8F"/>
    <w:rsid w:val="00F72DA5"/>
    <w:rsid w:val="00F73059"/>
    <w:rsid w:val="00F73FC6"/>
    <w:rsid w:val="00F741E3"/>
    <w:rsid w:val="00F74D2F"/>
    <w:rsid w:val="00F75406"/>
    <w:rsid w:val="00F756A2"/>
    <w:rsid w:val="00F75A55"/>
    <w:rsid w:val="00F75AB4"/>
    <w:rsid w:val="00F75C09"/>
    <w:rsid w:val="00F77C7F"/>
    <w:rsid w:val="00F8017B"/>
    <w:rsid w:val="00F808A5"/>
    <w:rsid w:val="00F81EDF"/>
    <w:rsid w:val="00F83B70"/>
    <w:rsid w:val="00F861D0"/>
    <w:rsid w:val="00F8623F"/>
    <w:rsid w:val="00F86448"/>
    <w:rsid w:val="00F86699"/>
    <w:rsid w:val="00F876F3"/>
    <w:rsid w:val="00F9125E"/>
    <w:rsid w:val="00F9382B"/>
    <w:rsid w:val="00F93B00"/>
    <w:rsid w:val="00F95044"/>
    <w:rsid w:val="00F965FC"/>
    <w:rsid w:val="00F97006"/>
    <w:rsid w:val="00FA4580"/>
    <w:rsid w:val="00FA4C29"/>
    <w:rsid w:val="00FA6A69"/>
    <w:rsid w:val="00FA7467"/>
    <w:rsid w:val="00FB0FDE"/>
    <w:rsid w:val="00FB1BD3"/>
    <w:rsid w:val="00FB38DC"/>
    <w:rsid w:val="00FB3CA3"/>
    <w:rsid w:val="00FB61AF"/>
    <w:rsid w:val="00FB676A"/>
    <w:rsid w:val="00FB6F22"/>
    <w:rsid w:val="00FB7FEF"/>
    <w:rsid w:val="00FC0FF7"/>
    <w:rsid w:val="00FC1952"/>
    <w:rsid w:val="00FC2DCF"/>
    <w:rsid w:val="00FC38FA"/>
    <w:rsid w:val="00FC4132"/>
    <w:rsid w:val="00FC465F"/>
    <w:rsid w:val="00FC59E2"/>
    <w:rsid w:val="00FD02F5"/>
    <w:rsid w:val="00FD0668"/>
    <w:rsid w:val="00FD1E00"/>
    <w:rsid w:val="00FD2170"/>
    <w:rsid w:val="00FD22DB"/>
    <w:rsid w:val="00FD2498"/>
    <w:rsid w:val="00FD2A3E"/>
    <w:rsid w:val="00FD3762"/>
    <w:rsid w:val="00FD678C"/>
    <w:rsid w:val="00FE6108"/>
    <w:rsid w:val="00FE63FD"/>
    <w:rsid w:val="00FE7896"/>
    <w:rsid w:val="00FE7D54"/>
    <w:rsid w:val="00FF0CAF"/>
    <w:rsid w:val="00FF0DB0"/>
    <w:rsid w:val="00FF3D13"/>
    <w:rsid w:val="00FF4D9B"/>
    <w:rsid w:val="00FF4E10"/>
    <w:rsid w:val="00FF611C"/>
    <w:rsid w:val="00FF73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90D7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4"/>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6"/>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52"/>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51"/>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9"/>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51"/>
      </w:numPr>
      <w:spacing w:before="0" w:after="0"/>
    </w:pPr>
    <w:rPr>
      <w:b/>
    </w:rPr>
  </w:style>
  <w:style w:type="paragraph" w:customStyle="1" w:styleId="dotpoint">
    <w:name w:val="dot point"/>
    <w:basedOn w:val="Normal"/>
    <w:rsid w:val="00E56A6F"/>
    <w:pPr>
      <w:numPr>
        <w:numId w:val="11"/>
      </w:numPr>
    </w:pPr>
  </w:style>
  <w:style w:type="paragraph" w:customStyle="1" w:styleId="dotpoint2">
    <w:name w:val="dot point 2"/>
    <w:basedOn w:val="Normal"/>
    <w:rsid w:val="00E56A6F"/>
    <w:pPr>
      <w:numPr>
        <w:ilvl w:val="1"/>
        <w:numId w:val="13"/>
      </w:numPr>
    </w:pPr>
  </w:style>
  <w:style w:type="numbering" w:customStyle="1" w:styleId="DotPointList">
    <w:name w:val="Dot Point List"/>
    <w:uiPriority w:val="99"/>
    <w:rsid w:val="00E56A6F"/>
    <w:pPr>
      <w:numPr>
        <w:numId w:val="12"/>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qFormat/>
    <w:rsid w:val="00E56A6F"/>
    <w:pPr>
      <w:ind w:left="1985"/>
    </w:pPr>
    <w:rPr>
      <w:sz w:val="20"/>
    </w:rPr>
  </w:style>
  <w:style w:type="paragraph" w:customStyle="1" w:styleId="exampledotpoint1">
    <w:name w:val="example dot point 1"/>
    <w:basedOn w:val="exampletext"/>
    <w:rsid w:val="006A05D6"/>
    <w:pPr>
      <w:numPr>
        <w:numId w:val="16"/>
      </w:numPr>
      <w:spacing w:before="200" w:after="200"/>
      <w:ind w:left="2269" w:hanging="284"/>
    </w:pPr>
  </w:style>
  <w:style w:type="paragraph" w:customStyle="1" w:styleId="exampledotpoint2">
    <w:name w:val="example dot point 2"/>
    <w:basedOn w:val="exampletext"/>
    <w:rsid w:val="006A05D6"/>
    <w:pPr>
      <w:numPr>
        <w:ilvl w:val="1"/>
        <w:numId w:val="16"/>
      </w:numPr>
      <w:spacing w:before="200" w:after="200"/>
    </w:pPr>
  </w:style>
  <w:style w:type="numbering" w:customStyle="1" w:styleId="ExampleDotPointList">
    <w:name w:val="Example Dot Point List"/>
    <w:uiPriority w:val="99"/>
    <w:rsid w:val="00E56A6F"/>
    <w:pPr>
      <w:numPr>
        <w:numId w:val="14"/>
      </w:numPr>
    </w:pPr>
  </w:style>
  <w:style w:type="paragraph" w:customStyle="1" w:styleId="ExampleHeading">
    <w:name w:val="Example Heading"/>
    <w:basedOn w:val="Normal"/>
    <w:next w:val="exampletext"/>
    <w:rsid w:val="00E56A6F"/>
    <w:pPr>
      <w:keepNext/>
      <w:numPr>
        <w:ilvl w:val="3"/>
        <w:numId w:val="51"/>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uiPriority w:val="99"/>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uiPriority w:val="99"/>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semiHidden/>
    <w:rsid w:val="00E56A6F"/>
    <w:pPr>
      <w:tabs>
        <w:tab w:val="center" w:pos="4153"/>
        <w:tab w:val="right" w:pos="8306"/>
      </w:tabs>
    </w:pPr>
  </w:style>
  <w:style w:type="character" w:customStyle="1" w:styleId="HeaderChar">
    <w:name w:val="Header Char"/>
    <w:basedOn w:val="DefaultParagraphFont"/>
    <w:link w:val="Header"/>
    <w:semiHidden/>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9"/>
      </w:numPr>
    </w:pPr>
  </w:style>
  <w:style w:type="paragraph" w:styleId="ListBullet2">
    <w:name w:val="List Bullet 2"/>
    <w:basedOn w:val="Normal"/>
    <w:semiHidden/>
    <w:rsid w:val="00E56A6F"/>
    <w:pPr>
      <w:numPr>
        <w:numId w:val="21"/>
      </w:numPr>
    </w:pPr>
  </w:style>
  <w:style w:type="paragraph" w:styleId="ListBullet3">
    <w:name w:val="List Bullet 3"/>
    <w:basedOn w:val="Normal"/>
    <w:semiHidden/>
    <w:rsid w:val="00E56A6F"/>
    <w:pPr>
      <w:numPr>
        <w:numId w:val="23"/>
      </w:numPr>
    </w:pPr>
  </w:style>
  <w:style w:type="paragraph" w:styleId="ListBullet4">
    <w:name w:val="List Bullet 4"/>
    <w:basedOn w:val="Normal"/>
    <w:semiHidden/>
    <w:rsid w:val="00E56A6F"/>
    <w:pPr>
      <w:numPr>
        <w:numId w:val="25"/>
      </w:numPr>
    </w:pPr>
  </w:style>
  <w:style w:type="paragraph" w:styleId="ListBullet5">
    <w:name w:val="List Bullet 5"/>
    <w:basedOn w:val="Normal"/>
    <w:semiHidden/>
    <w:rsid w:val="00E56A6F"/>
    <w:pPr>
      <w:numPr>
        <w:numId w:val="27"/>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29"/>
      </w:numPr>
    </w:pPr>
  </w:style>
  <w:style w:type="paragraph" w:styleId="ListNumber2">
    <w:name w:val="List Number 2"/>
    <w:basedOn w:val="Normal"/>
    <w:semiHidden/>
    <w:rsid w:val="00E56A6F"/>
    <w:pPr>
      <w:numPr>
        <w:numId w:val="31"/>
      </w:numPr>
    </w:pPr>
  </w:style>
  <w:style w:type="paragraph" w:styleId="ListNumber3">
    <w:name w:val="List Number 3"/>
    <w:basedOn w:val="Normal"/>
    <w:semiHidden/>
    <w:rsid w:val="00E56A6F"/>
    <w:pPr>
      <w:numPr>
        <w:numId w:val="33"/>
      </w:numPr>
    </w:pPr>
  </w:style>
  <w:style w:type="paragraph" w:styleId="ListNumber4">
    <w:name w:val="List Number 4"/>
    <w:basedOn w:val="Normal"/>
    <w:semiHidden/>
    <w:rsid w:val="00E56A6F"/>
    <w:pPr>
      <w:numPr>
        <w:numId w:val="35"/>
      </w:numPr>
    </w:pPr>
  </w:style>
  <w:style w:type="paragraph" w:styleId="ListNumber5">
    <w:name w:val="List Number 5"/>
    <w:basedOn w:val="Normal"/>
    <w:semiHidden/>
    <w:rsid w:val="00E56A6F"/>
    <w:pPr>
      <w:numPr>
        <w:numId w:val="37"/>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rsid w:val="00E56A6F"/>
    <w:pPr>
      <w:spacing w:before="40" w:after="40"/>
    </w:pPr>
    <w:rPr>
      <w:sz w:val="20"/>
    </w:rPr>
  </w:style>
  <w:style w:type="paragraph" w:customStyle="1" w:styleId="tabledotpoint">
    <w:name w:val="table dot point"/>
    <w:basedOn w:val="tabletext"/>
    <w:rsid w:val="00E56A6F"/>
    <w:pPr>
      <w:numPr>
        <w:numId w:val="40"/>
      </w:numPr>
    </w:pPr>
  </w:style>
  <w:style w:type="paragraph" w:customStyle="1" w:styleId="tabledotpoint2">
    <w:name w:val="table dot point 2"/>
    <w:basedOn w:val="tabletext"/>
    <w:rsid w:val="00E56A6F"/>
    <w:pPr>
      <w:numPr>
        <w:ilvl w:val="1"/>
        <w:numId w:val="40"/>
      </w:numPr>
    </w:pPr>
  </w:style>
  <w:style w:type="numbering" w:customStyle="1" w:styleId="TableDotPointList">
    <w:name w:val="Table Dot Point List"/>
    <w:uiPriority w:val="99"/>
    <w:rsid w:val="00E56A6F"/>
    <w:pPr>
      <w:numPr>
        <w:numId w:val="40"/>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51"/>
      </w:numPr>
      <w:tabs>
        <w:tab w:val="num" w:pos="360"/>
      </w:tabs>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107A5E"/>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numbering" w:customStyle="1" w:styleId="TableDotPointList1">
    <w:name w:val="Table Dot Point List1"/>
    <w:uiPriority w:val="99"/>
    <w:rsid w:val="0016134B"/>
  </w:style>
  <w:style w:type="paragraph" w:styleId="BalloonText">
    <w:name w:val="Balloon Text"/>
    <w:basedOn w:val="Normal"/>
    <w:link w:val="BalloonTextChar"/>
    <w:uiPriority w:val="99"/>
    <w:semiHidden/>
    <w:unhideWhenUsed/>
    <w:rsid w:val="0016134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34B"/>
    <w:rPr>
      <w:rFonts w:ascii="Tahoma" w:eastAsia="Times New Roman" w:hAnsi="Tahoma" w:cs="Tahoma"/>
      <w:sz w:val="16"/>
      <w:szCs w:val="16"/>
      <w:lang w:eastAsia="en-AU"/>
    </w:rPr>
  </w:style>
  <w:style w:type="character" w:styleId="CommentReference">
    <w:name w:val="annotation reference"/>
    <w:basedOn w:val="DefaultParagraphFont"/>
    <w:unhideWhenUsed/>
    <w:rsid w:val="00E3010D"/>
    <w:rPr>
      <w:sz w:val="16"/>
      <w:szCs w:val="16"/>
    </w:rPr>
  </w:style>
  <w:style w:type="paragraph" w:styleId="CommentText">
    <w:name w:val="annotation text"/>
    <w:basedOn w:val="Normal"/>
    <w:link w:val="CommentTextChar"/>
    <w:unhideWhenUsed/>
    <w:rsid w:val="00E3010D"/>
    <w:rPr>
      <w:sz w:val="20"/>
    </w:rPr>
  </w:style>
  <w:style w:type="character" w:customStyle="1" w:styleId="CommentTextChar">
    <w:name w:val="Comment Text Char"/>
    <w:basedOn w:val="DefaultParagraphFont"/>
    <w:link w:val="CommentText"/>
    <w:rsid w:val="00E3010D"/>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E3010D"/>
    <w:rPr>
      <w:b/>
      <w:bCs/>
    </w:rPr>
  </w:style>
  <w:style w:type="character" w:customStyle="1" w:styleId="CommentSubjectChar">
    <w:name w:val="Comment Subject Char"/>
    <w:basedOn w:val="CommentTextChar"/>
    <w:link w:val="CommentSubject"/>
    <w:uiPriority w:val="99"/>
    <w:semiHidden/>
    <w:rsid w:val="00E3010D"/>
    <w:rPr>
      <w:rFonts w:ascii="Times New Roman" w:eastAsia="Times New Roman" w:hAnsi="Times New Roman" w:cs="Times New Roman"/>
      <w:b/>
      <w:bCs/>
      <w:sz w:val="20"/>
      <w:szCs w:val="20"/>
      <w:lang w:eastAsia="en-AU"/>
    </w:rPr>
  </w:style>
  <w:style w:type="paragraph" w:customStyle="1" w:styleId="enotetabletext">
    <w:name w:val="enotetabletext"/>
    <w:basedOn w:val="Normal"/>
    <w:rsid w:val="009F04CB"/>
    <w:pPr>
      <w:spacing w:before="100" w:beforeAutospacing="1" w:after="100" w:afterAutospacing="1"/>
    </w:pPr>
    <w:rPr>
      <w:sz w:val="24"/>
      <w:szCs w:val="24"/>
    </w:rPr>
  </w:style>
  <w:style w:type="character" w:styleId="FootnoteReference">
    <w:name w:val="footnote reference"/>
    <w:basedOn w:val="DefaultParagraphFont"/>
    <w:uiPriority w:val="99"/>
    <w:semiHidden/>
    <w:unhideWhenUsed/>
    <w:rsid w:val="007D63EE"/>
    <w:rPr>
      <w:vertAlign w:val="superscript"/>
    </w:rPr>
  </w:style>
  <w:style w:type="paragraph" w:styleId="Revision">
    <w:name w:val="Revision"/>
    <w:hidden/>
    <w:uiPriority w:val="99"/>
    <w:semiHidden/>
    <w:rsid w:val="00A65A28"/>
    <w:pPr>
      <w:spacing w:after="0" w:line="240" w:lineRule="auto"/>
    </w:pPr>
    <w:rPr>
      <w:rFonts w:ascii="Times New Roman" w:eastAsia="Times New Roman" w:hAnsi="Times New Roman" w:cs="Times New Roman"/>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4"/>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6"/>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52"/>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51"/>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9"/>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51"/>
      </w:numPr>
      <w:spacing w:before="0" w:after="0"/>
    </w:pPr>
    <w:rPr>
      <w:b/>
    </w:rPr>
  </w:style>
  <w:style w:type="paragraph" w:customStyle="1" w:styleId="dotpoint">
    <w:name w:val="dot point"/>
    <w:basedOn w:val="Normal"/>
    <w:rsid w:val="00E56A6F"/>
    <w:pPr>
      <w:numPr>
        <w:numId w:val="11"/>
      </w:numPr>
    </w:pPr>
  </w:style>
  <w:style w:type="paragraph" w:customStyle="1" w:styleId="dotpoint2">
    <w:name w:val="dot point 2"/>
    <w:basedOn w:val="Normal"/>
    <w:rsid w:val="00E56A6F"/>
    <w:pPr>
      <w:numPr>
        <w:ilvl w:val="1"/>
        <w:numId w:val="13"/>
      </w:numPr>
    </w:pPr>
  </w:style>
  <w:style w:type="numbering" w:customStyle="1" w:styleId="DotPointList">
    <w:name w:val="Dot Point List"/>
    <w:uiPriority w:val="99"/>
    <w:rsid w:val="00E56A6F"/>
    <w:pPr>
      <w:numPr>
        <w:numId w:val="12"/>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qFormat/>
    <w:rsid w:val="00E56A6F"/>
    <w:pPr>
      <w:ind w:left="1985"/>
    </w:pPr>
    <w:rPr>
      <w:sz w:val="20"/>
    </w:rPr>
  </w:style>
  <w:style w:type="paragraph" w:customStyle="1" w:styleId="exampledotpoint1">
    <w:name w:val="example dot point 1"/>
    <w:basedOn w:val="exampletext"/>
    <w:rsid w:val="006A05D6"/>
    <w:pPr>
      <w:numPr>
        <w:numId w:val="16"/>
      </w:numPr>
      <w:spacing w:before="200" w:after="200"/>
      <w:ind w:left="2269" w:hanging="284"/>
    </w:pPr>
  </w:style>
  <w:style w:type="paragraph" w:customStyle="1" w:styleId="exampledotpoint2">
    <w:name w:val="example dot point 2"/>
    <w:basedOn w:val="exampletext"/>
    <w:rsid w:val="006A05D6"/>
    <w:pPr>
      <w:numPr>
        <w:ilvl w:val="1"/>
        <w:numId w:val="16"/>
      </w:numPr>
      <w:spacing w:before="200" w:after="200"/>
    </w:pPr>
  </w:style>
  <w:style w:type="numbering" w:customStyle="1" w:styleId="ExampleDotPointList">
    <w:name w:val="Example Dot Point List"/>
    <w:uiPriority w:val="99"/>
    <w:rsid w:val="00E56A6F"/>
    <w:pPr>
      <w:numPr>
        <w:numId w:val="14"/>
      </w:numPr>
    </w:pPr>
  </w:style>
  <w:style w:type="paragraph" w:customStyle="1" w:styleId="ExampleHeading">
    <w:name w:val="Example Heading"/>
    <w:basedOn w:val="Normal"/>
    <w:next w:val="exampletext"/>
    <w:rsid w:val="00E56A6F"/>
    <w:pPr>
      <w:keepNext/>
      <w:numPr>
        <w:ilvl w:val="3"/>
        <w:numId w:val="51"/>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uiPriority w:val="99"/>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uiPriority w:val="99"/>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semiHidden/>
    <w:rsid w:val="00E56A6F"/>
    <w:pPr>
      <w:tabs>
        <w:tab w:val="center" w:pos="4153"/>
        <w:tab w:val="right" w:pos="8306"/>
      </w:tabs>
    </w:pPr>
  </w:style>
  <w:style w:type="character" w:customStyle="1" w:styleId="HeaderChar">
    <w:name w:val="Header Char"/>
    <w:basedOn w:val="DefaultParagraphFont"/>
    <w:link w:val="Header"/>
    <w:semiHidden/>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9"/>
      </w:numPr>
    </w:pPr>
  </w:style>
  <w:style w:type="paragraph" w:styleId="ListBullet2">
    <w:name w:val="List Bullet 2"/>
    <w:basedOn w:val="Normal"/>
    <w:semiHidden/>
    <w:rsid w:val="00E56A6F"/>
    <w:pPr>
      <w:numPr>
        <w:numId w:val="21"/>
      </w:numPr>
    </w:pPr>
  </w:style>
  <w:style w:type="paragraph" w:styleId="ListBullet3">
    <w:name w:val="List Bullet 3"/>
    <w:basedOn w:val="Normal"/>
    <w:semiHidden/>
    <w:rsid w:val="00E56A6F"/>
    <w:pPr>
      <w:numPr>
        <w:numId w:val="23"/>
      </w:numPr>
    </w:pPr>
  </w:style>
  <w:style w:type="paragraph" w:styleId="ListBullet4">
    <w:name w:val="List Bullet 4"/>
    <w:basedOn w:val="Normal"/>
    <w:semiHidden/>
    <w:rsid w:val="00E56A6F"/>
    <w:pPr>
      <w:numPr>
        <w:numId w:val="25"/>
      </w:numPr>
    </w:pPr>
  </w:style>
  <w:style w:type="paragraph" w:styleId="ListBullet5">
    <w:name w:val="List Bullet 5"/>
    <w:basedOn w:val="Normal"/>
    <w:semiHidden/>
    <w:rsid w:val="00E56A6F"/>
    <w:pPr>
      <w:numPr>
        <w:numId w:val="27"/>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29"/>
      </w:numPr>
    </w:pPr>
  </w:style>
  <w:style w:type="paragraph" w:styleId="ListNumber2">
    <w:name w:val="List Number 2"/>
    <w:basedOn w:val="Normal"/>
    <w:semiHidden/>
    <w:rsid w:val="00E56A6F"/>
    <w:pPr>
      <w:numPr>
        <w:numId w:val="31"/>
      </w:numPr>
    </w:pPr>
  </w:style>
  <w:style w:type="paragraph" w:styleId="ListNumber3">
    <w:name w:val="List Number 3"/>
    <w:basedOn w:val="Normal"/>
    <w:semiHidden/>
    <w:rsid w:val="00E56A6F"/>
    <w:pPr>
      <w:numPr>
        <w:numId w:val="33"/>
      </w:numPr>
    </w:pPr>
  </w:style>
  <w:style w:type="paragraph" w:styleId="ListNumber4">
    <w:name w:val="List Number 4"/>
    <w:basedOn w:val="Normal"/>
    <w:semiHidden/>
    <w:rsid w:val="00E56A6F"/>
    <w:pPr>
      <w:numPr>
        <w:numId w:val="35"/>
      </w:numPr>
    </w:pPr>
  </w:style>
  <w:style w:type="paragraph" w:styleId="ListNumber5">
    <w:name w:val="List Number 5"/>
    <w:basedOn w:val="Normal"/>
    <w:semiHidden/>
    <w:rsid w:val="00E56A6F"/>
    <w:pPr>
      <w:numPr>
        <w:numId w:val="37"/>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rsid w:val="00E56A6F"/>
    <w:pPr>
      <w:spacing w:before="40" w:after="40"/>
    </w:pPr>
    <w:rPr>
      <w:sz w:val="20"/>
    </w:rPr>
  </w:style>
  <w:style w:type="paragraph" w:customStyle="1" w:styleId="tabledotpoint">
    <w:name w:val="table dot point"/>
    <w:basedOn w:val="tabletext"/>
    <w:rsid w:val="00E56A6F"/>
    <w:pPr>
      <w:numPr>
        <w:numId w:val="40"/>
      </w:numPr>
    </w:pPr>
  </w:style>
  <w:style w:type="paragraph" w:customStyle="1" w:styleId="tabledotpoint2">
    <w:name w:val="table dot point 2"/>
    <w:basedOn w:val="tabletext"/>
    <w:rsid w:val="00E56A6F"/>
    <w:pPr>
      <w:numPr>
        <w:ilvl w:val="1"/>
        <w:numId w:val="40"/>
      </w:numPr>
    </w:pPr>
  </w:style>
  <w:style w:type="numbering" w:customStyle="1" w:styleId="TableDotPointList">
    <w:name w:val="Table Dot Point List"/>
    <w:uiPriority w:val="99"/>
    <w:rsid w:val="00E56A6F"/>
    <w:pPr>
      <w:numPr>
        <w:numId w:val="40"/>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51"/>
      </w:numPr>
      <w:tabs>
        <w:tab w:val="num" w:pos="360"/>
      </w:tabs>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107A5E"/>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numbering" w:customStyle="1" w:styleId="TableDotPointList1">
    <w:name w:val="Table Dot Point List1"/>
    <w:uiPriority w:val="99"/>
    <w:rsid w:val="0016134B"/>
  </w:style>
  <w:style w:type="paragraph" w:styleId="BalloonText">
    <w:name w:val="Balloon Text"/>
    <w:basedOn w:val="Normal"/>
    <w:link w:val="BalloonTextChar"/>
    <w:uiPriority w:val="99"/>
    <w:semiHidden/>
    <w:unhideWhenUsed/>
    <w:rsid w:val="0016134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34B"/>
    <w:rPr>
      <w:rFonts w:ascii="Tahoma" w:eastAsia="Times New Roman" w:hAnsi="Tahoma" w:cs="Tahoma"/>
      <w:sz w:val="16"/>
      <w:szCs w:val="16"/>
      <w:lang w:eastAsia="en-AU"/>
    </w:rPr>
  </w:style>
  <w:style w:type="character" w:styleId="CommentReference">
    <w:name w:val="annotation reference"/>
    <w:basedOn w:val="DefaultParagraphFont"/>
    <w:unhideWhenUsed/>
    <w:rsid w:val="00E3010D"/>
    <w:rPr>
      <w:sz w:val="16"/>
      <w:szCs w:val="16"/>
    </w:rPr>
  </w:style>
  <w:style w:type="paragraph" w:styleId="CommentText">
    <w:name w:val="annotation text"/>
    <w:basedOn w:val="Normal"/>
    <w:link w:val="CommentTextChar"/>
    <w:unhideWhenUsed/>
    <w:rsid w:val="00E3010D"/>
    <w:rPr>
      <w:sz w:val="20"/>
    </w:rPr>
  </w:style>
  <w:style w:type="character" w:customStyle="1" w:styleId="CommentTextChar">
    <w:name w:val="Comment Text Char"/>
    <w:basedOn w:val="DefaultParagraphFont"/>
    <w:link w:val="CommentText"/>
    <w:rsid w:val="00E3010D"/>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E3010D"/>
    <w:rPr>
      <w:b/>
      <w:bCs/>
    </w:rPr>
  </w:style>
  <w:style w:type="character" w:customStyle="1" w:styleId="CommentSubjectChar">
    <w:name w:val="Comment Subject Char"/>
    <w:basedOn w:val="CommentTextChar"/>
    <w:link w:val="CommentSubject"/>
    <w:uiPriority w:val="99"/>
    <w:semiHidden/>
    <w:rsid w:val="00E3010D"/>
    <w:rPr>
      <w:rFonts w:ascii="Times New Roman" w:eastAsia="Times New Roman" w:hAnsi="Times New Roman" w:cs="Times New Roman"/>
      <w:b/>
      <w:bCs/>
      <w:sz w:val="20"/>
      <w:szCs w:val="20"/>
      <w:lang w:eastAsia="en-AU"/>
    </w:rPr>
  </w:style>
  <w:style w:type="paragraph" w:customStyle="1" w:styleId="enotetabletext">
    <w:name w:val="enotetabletext"/>
    <w:basedOn w:val="Normal"/>
    <w:rsid w:val="009F04CB"/>
    <w:pPr>
      <w:spacing w:before="100" w:beforeAutospacing="1" w:after="100" w:afterAutospacing="1"/>
    </w:pPr>
    <w:rPr>
      <w:sz w:val="24"/>
      <w:szCs w:val="24"/>
    </w:rPr>
  </w:style>
  <w:style w:type="character" w:styleId="FootnoteReference">
    <w:name w:val="footnote reference"/>
    <w:basedOn w:val="DefaultParagraphFont"/>
    <w:uiPriority w:val="99"/>
    <w:semiHidden/>
    <w:unhideWhenUsed/>
    <w:rsid w:val="007D63EE"/>
    <w:rPr>
      <w:vertAlign w:val="superscript"/>
    </w:rPr>
  </w:style>
  <w:style w:type="paragraph" w:styleId="Revision">
    <w:name w:val="Revision"/>
    <w:hidden/>
    <w:uiPriority w:val="99"/>
    <w:semiHidden/>
    <w:rsid w:val="00A65A28"/>
    <w:pPr>
      <w:spacing w:after="0" w:line="240" w:lineRule="auto"/>
    </w:pPr>
    <w:rPr>
      <w:rFonts w:ascii="Times New Roman" w:eastAsia="Times New Roman" w:hAnsi="Times New Roman"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74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image" Target="media/image20.png"/><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settings" Target="settings.xml"/><Relationship Id="rId19" Type="http://schemas.openxmlformats.org/officeDocument/2006/relationships/header" Target="header4.xml"/><Relationship Id="rId31" Type="http://schemas.openxmlformats.org/officeDocument/2006/relationships/image" Target="media/image2.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image" Target="media/image1.png"/><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Pri-E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IconOverlay xmlns="http://schemas.microsoft.com/sharepoint/v4" xsi:nil="true"/>
    <_dlc_DocId xmlns="0f563589-9cf9-4143-b1eb-fb0534803d38">2019RG-216-6087</_dlc_DocId>
    <TaxCatchAll xmlns="0f563589-9cf9-4143-b1eb-fb0534803d38">
      <Value>24</Value>
    </TaxCatchAll>
    <_dlc_DocIdUrl xmlns="0f563589-9cf9-4143-b1eb-fb0534803d38">
      <Url>http://tweb/sites/rg/ldp/_layouts/15/DocIdRedir.aspx?ID=2019RG-216-6087</Url>
      <Description>2019RG-216-6087</Description>
    </_dlc_DocIdUrl>
    <Nature_x0020_of_x0020_documents xmlns="507a8a59-704d-43cf-b103-02b0cd527a9d"/>
    <Number_x0020_version xmlns="507a8a59-704d-43cf-b103-02b0cd527a9d" xsi:nil="true"/>
    <LMU_x0020_number xmlns="507a8a59-704d-43cf-b103-02b0cd527a9d" xsi:nil="true"/>
    <Responsible_x0020_LDO_x0020_Officer xmlns="507a8a59-704d-43cf-b103-02b0cd527a9d">
      <UserInfo>
        <DisplayName/>
        <AccountId xsi:nil="true"/>
        <AccountType/>
      </UserInfo>
    </Responsible_x0020_LDO_x0020_Officer>
    <Status xmlns="507a8a59-704d-43cf-b103-02b0cd527a9d">Current</Status>
    <Parliamentary_x0020_session xmlns="507a8a59-704d-43cf-b103-02b0cd527a9d">45th</Parliamentary_x0020_session>
  </documentManagement>
</p:properties>
</file>

<file path=customXml/item2.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95AC4D68AD35B54B84C8F2EAD3D25E24" ma:contentTypeVersion="16995" ma:contentTypeDescription="" ma:contentTypeScope="" ma:versionID="70d32f6f450313b8ccddf9702f8ee0fe">
  <xsd:schema xmlns:xsd="http://www.w3.org/2001/XMLSchema" xmlns:xs="http://www.w3.org/2001/XMLSchema" xmlns:p="http://schemas.microsoft.com/office/2006/metadata/properties" xmlns:ns1="http://schemas.microsoft.com/sharepoint/v3" xmlns:ns2="0f563589-9cf9-4143-b1eb-fb0534803d38" xmlns:ns3="9f7bc583-7cbe-45b9-a2bd-8bbb6543b37e" xmlns:ns4="507a8a59-704d-43cf-b103-02b0cd527a9d" xmlns:ns5="http://schemas.microsoft.com/sharepoint/v4" targetNamespace="http://schemas.microsoft.com/office/2006/metadata/properties" ma:root="true" ma:fieldsID="33fbd3fda7c15195141807f0a6179ba2" ns1:_="" ns2:_="" ns3:_="" ns4:_="" ns5:_="">
    <xsd:import namespace="http://schemas.microsoft.com/sharepoint/v3"/>
    <xsd:import namespace="0f563589-9cf9-4143-b1eb-fb0534803d38"/>
    <xsd:import namespace="9f7bc583-7cbe-45b9-a2bd-8bbb6543b37e"/>
    <xsd:import namespace="507a8a59-704d-43cf-b103-02b0cd527a9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element ref="ns4:LMU_x0020_number" minOccurs="0"/>
                <xsd:element ref="ns4:Nature_x0020_of_x0020_documents" minOccurs="0"/>
                <xsd:element ref="ns4:Number_x0020_version" minOccurs="0"/>
                <xsd:element ref="ns4:Status" minOccurs="0"/>
                <xsd:element ref="ns4:Parliamentary_x0020_session" minOccurs="0"/>
                <xsd:element ref="ns4:Responsible_x0020_LDO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24;#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7a8a59-704d-43cf-b103-02b0cd527a9d" elementFormDefault="qualified">
    <xsd:import namespace="http://schemas.microsoft.com/office/2006/documentManagement/types"/>
    <xsd:import namespace="http://schemas.microsoft.com/office/infopath/2007/PartnerControls"/>
    <xsd:element name="LMU_x0020_number" ma:index="18" nillable="true" ma:displayName="LMU number" ma:internalName="LMU_x0020_number">
      <xsd:simpleType>
        <xsd:restriction base="dms:Text">
          <xsd:maxLength value="255"/>
        </xsd:restriction>
      </xsd:simpleType>
    </xsd:element>
    <xsd:element name="Nature_x0020_of_x0020_documents" ma:index="19" nillable="true" ma:displayName="Nature of documents" ma:internalName="Nature_x0020_of_x0020_documents">
      <xsd:complexType>
        <xsd:complexContent>
          <xsd:extension base="dms:MultiChoice">
            <xsd:sequence>
              <xsd:element name="Value" maxOccurs="unbounded" minOccurs="0" nillable="true">
                <xsd:simpleType>
                  <xsd:restriction base="dms:Choice">
                    <xsd:enumeration value="ATO correspondence"/>
                    <xsd:enumeration value="ASIC correspondence"/>
                    <xsd:enumeration value="APRA correspondence"/>
                    <xsd:enumeration value="Background-other jurisdictions"/>
                    <xsd:enumeration value="Bid"/>
                    <xsd:enumeration value="Consultation paper"/>
                    <xsd:enumeration value="Discussion paper"/>
                    <xsd:enumeration value="Drafting instructions"/>
                    <xsd:enumeration value="Legislation"/>
                    <xsd:enumeration value="Regulation"/>
                    <xsd:enumeration value="Explanatory memorandum/statement"/>
                    <xsd:enumeration value="Exposure draft"/>
                    <xsd:enumeration value="Legal advice"/>
                    <xsd:enumeration value="Ministerial correspondence"/>
                    <xsd:enumeration value="Note for file"/>
                    <xsd:enumeration value="Parliamentary"/>
                    <xsd:enumeration value="Policy"/>
                    <xsd:enumeration value="RIS"/>
                    <xsd:enumeration value="Stakeholder correspondence"/>
                    <xsd:enumeration value="Submission"/>
                    <xsd:enumeration value="Other"/>
                  </xsd:restriction>
                </xsd:simpleType>
              </xsd:element>
            </xsd:sequence>
          </xsd:extension>
        </xsd:complexContent>
      </xsd:complexType>
    </xsd:element>
    <xsd:element name="Number_x0020_version" ma:index="20" nillable="true" ma:displayName="Number version" ma:internalName="Number_x0020_version">
      <xsd:simpleType>
        <xsd:restriction base="dms:Text">
          <xsd:maxLength value="255"/>
        </xsd:restriction>
      </xsd:simpleType>
    </xsd:element>
    <xsd:element name="Status" ma:index="21" nillable="true" ma:displayName="Status" ma:default="Current" ma:format="Dropdown" ma:internalName="Status">
      <xsd:simpleType>
        <xsd:restriction base="dms:Choice">
          <xsd:enumeration value="Current"/>
          <xsd:enumeration value="Completed"/>
          <xsd:enumeration value="Deferred"/>
          <xsd:enumeration value="Not progressing"/>
        </xsd:restriction>
      </xsd:simpleType>
    </xsd:element>
    <xsd:element name="Parliamentary_x0020_session" ma:index="22" nillable="true" ma:displayName="Parliamentary session" ma:default="45th" ma:format="Dropdown" ma:internalName="Parliamentary_x0020_session">
      <xsd:simpleType>
        <xsd:restriction base="dms:Choice">
          <xsd:enumeration value="TBD"/>
          <xsd:enumeration value="45th"/>
          <xsd:enumeration value="44th"/>
        </xsd:restriction>
      </xsd:simpleType>
    </xsd:element>
    <xsd:element name="Responsible_x0020_LDO_x0020_Officer" ma:index="23" nillable="true" ma:displayName="Responsible LDO Officer" ma:list="UserInfo" ma:SharePointGroup="0" ma:internalName="Responsible_x0020_LDO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4BCE1-B00C-45BB-B3CA-CEE712E03F53}">
  <ds:schemaRefs>
    <ds:schemaRef ds:uri="http://schemas.openxmlformats.org/package/2006/metadata/core-properties"/>
    <ds:schemaRef ds:uri="http://schemas.microsoft.com/sharepoint/v3"/>
    <ds:schemaRef ds:uri="http://purl.org/dc/dcmitype/"/>
    <ds:schemaRef ds:uri="http://purl.org/dc/terms/"/>
    <ds:schemaRef ds:uri="http://schemas.microsoft.com/office/infopath/2007/PartnerControls"/>
    <ds:schemaRef ds:uri="9f7bc583-7cbe-45b9-a2bd-8bbb6543b37e"/>
    <ds:schemaRef ds:uri="http://www.w3.org/XML/1998/namespace"/>
    <ds:schemaRef ds:uri="http://schemas.microsoft.com/sharepoint/v4"/>
    <ds:schemaRef ds:uri="507a8a59-704d-43cf-b103-02b0cd527a9d"/>
    <ds:schemaRef ds:uri="http://schemas.microsoft.com/office/2006/documentManagement/types"/>
    <ds:schemaRef ds:uri="0f563589-9cf9-4143-b1eb-fb0534803d38"/>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EEF8C7A-6F56-4C4D-B51C-8D77D5ADF651}">
  <ds:schemaRefs>
    <ds:schemaRef ds:uri="office.server.policy"/>
  </ds:schemaRefs>
</ds:datastoreItem>
</file>

<file path=customXml/itemProps3.xml><?xml version="1.0" encoding="utf-8"?>
<ds:datastoreItem xmlns:ds="http://schemas.openxmlformats.org/officeDocument/2006/customXml" ds:itemID="{5581620C-90D2-41D3-81BF-E59E92C75C12}">
  <ds:schemaRefs>
    <ds:schemaRef ds:uri="http://schemas.microsoft.com/sharepoint/v3/contenttype/forms"/>
  </ds:schemaRefs>
</ds:datastoreItem>
</file>

<file path=customXml/itemProps4.xml><?xml version="1.0" encoding="utf-8"?>
<ds:datastoreItem xmlns:ds="http://schemas.openxmlformats.org/officeDocument/2006/customXml" ds:itemID="{11C07B5E-44AC-4C1E-90F1-9BF78E125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9f7bc583-7cbe-45b9-a2bd-8bbb6543b37e"/>
    <ds:schemaRef ds:uri="507a8a59-704d-43cf-b103-02b0cd527a9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9522A0-A7B2-45B3-A782-1B7297AF31FF}">
  <ds:schemaRefs>
    <ds:schemaRef ds:uri="http://schemas.microsoft.com/sharepoint/events"/>
  </ds:schemaRefs>
</ds:datastoreItem>
</file>

<file path=customXml/itemProps6.xml><?xml version="1.0" encoding="utf-8"?>
<ds:datastoreItem xmlns:ds="http://schemas.openxmlformats.org/officeDocument/2006/customXml" ds:itemID="{41B00EAD-1F19-440B-988C-47298191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Pri-EM.dotx</Template>
  <TotalTime>3</TotalTime>
  <Pages>51</Pages>
  <Words>14700</Words>
  <Characters>83794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Simon</dc:creator>
  <cp:lastModifiedBy>Li, Simon</cp:lastModifiedBy>
  <cp:revision>5</cp:revision>
  <cp:lastPrinted>2019-01-14T03:59:00Z</cp:lastPrinted>
  <dcterms:created xsi:type="dcterms:W3CDTF">2019-01-14T03:51:00Z</dcterms:created>
  <dcterms:modified xsi:type="dcterms:W3CDTF">2019-01-14T03:59:00Z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dc144407-68e8-481b-a4c2-c67dec8eebf7</vt:lpwstr>
  </property>
  <property fmtid="{D5CDD505-2E9C-101B-9397-08002B2CF9AE}" pid="3" name="ContentTypeId">
    <vt:lpwstr>0x01010036BB8DE7EC542E42A8B2E98CC20CB6970095AC4D68AD35B54B84C8F2EAD3D25E24</vt:lpwstr>
  </property>
  <property fmtid="{D5CDD505-2E9C-101B-9397-08002B2CF9AE}" pid="4" name="TSYRecordClass">
    <vt:lpwstr>24;#TSY RA-9072 - Retain as national archives|d71911a4-1e32-4fc6-834f-26c4fc33e217</vt:lpwstr>
  </property>
  <property fmtid="{D5CDD505-2E9C-101B-9397-08002B2CF9AE}" pid="5" name="RecordPoint_WorkflowType">
    <vt:lpwstr>ActiveSubmitStub</vt:lpwstr>
  </property>
  <property fmtid="{D5CDD505-2E9C-101B-9397-08002B2CF9AE}" pid="6" name="RecordPoint_ActiveItemListId">
    <vt:lpwstr>{507a8a59-704d-43cf-b103-02b0cd527a9d}</vt:lpwstr>
  </property>
  <property fmtid="{D5CDD505-2E9C-101B-9397-08002B2CF9AE}" pid="7" name="RecordPoint_ActiveItemWebId">
    <vt:lpwstr>{09392e0d-4618-463d-b4d2-50a90b9447cf}</vt:lpwstr>
  </property>
  <property fmtid="{D5CDD505-2E9C-101B-9397-08002B2CF9AE}" pid="8" name="RecordPoint_ActiveItemSiteId">
    <vt:lpwstr>{5b52b9a5-e5b2-4521-8814-a1e24ca2869d}</vt:lpwstr>
  </property>
  <property fmtid="{D5CDD505-2E9C-101B-9397-08002B2CF9AE}" pid="9" name="_AdHocReviewCycleID">
    <vt:i4>1430499329</vt:i4>
  </property>
  <property fmtid="{D5CDD505-2E9C-101B-9397-08002B2CF9AE}" pid="10" name="_NewReviewCycle">
    <vt:lpwstr/>
  </property>
  <property fmtid="{D5CDD505-2E9C-101B-9397-08002B2CF9AE}" pid="11" name="_EmailSubject">
    <vt:lpwstr>Corporate Collective Investment Vehicle - Approval of public consultation (MS18-004340) [SEC=UNCLASSIFIED]</vt:lpwstr>
  </property>
  <property fmtid="{D5CDD505-2E9C-101B-9397-08002B2CF9AE}" pid="12" name="_AuthorEmail">
    <vt:lpwstr>Simon.Li@treasury.gov.au</vt:lpwstr>
  </property>
  <property fmtid="{D5CDD505-2E9C-101B-9397-08002B2CF9AE}" pid="13" name="_AuthorEmailDisplayName">
    <vt:lpwstr>Li, Simon</vt:lpwstr>
  </property>
  <property fmtid="{D5CDD505-2E9C-101B-9397-08002B2CF9AE}" pid="15" name="RecordPoint_ActiveItemUniqueId">
    <vt:lpwstr>{d33f6904-b38d-4750-b51a-39b498345aa8}</vt:lpwstr>
  </property>
  <property fmtid="{D5CDD505-2E9C-101B-9397-08002B2CF9AE}" pid="16" name="RecordPoint_SubmissionDate">
    <vt:lpwstr/>
  </property>
  <property fmtid="{D5CDD505-2E9C-101B-9397-08002B2CF9AE}" pid="17" name="RecordPoint_RecordFormat">
    <vt:lpwstr/>
  </property>
  <property fmtid="{D5CDD505-2E9C-101B-9397-08002B2CF9AE}" pid="18" name="RecordPoint_ActiveItemMoved">
    <vt:lpwstr/>
  </property>
  <property fmtid="{D5CDD505-2E9C-101B-9397-08002B2CF9AE}" pid="19" name="RecordPoint_RecordNumberSubmitted">
    <vt:lpwstr>R0001953253</vt:lpwstr>
  </property>
  <property fmtid="{D5CDD505-2E9C-101B-9397-08002B2CF9AE}" pid="20" name="RecordPoint_SubmissionCompleted">
    <vt:lpwstr>2019-01-12T15:48:20.6291364+11:00</vt:lpwstr>
  </property>
  <property fmtid="{D5CDD505-2E9C-101B-9397-08002B2CF9AE}" pid="21" name="_PreviousAdHocReviewCycleID">
    <vt:i4>988511755</vt:i4>
  </property>
</Properties>
</file>