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184FC" w14:textId="69419FAE" w:rsidR="00D75494" w:rsidRDefault="00E2621C" w:rsidP="0024692E">
      <w:pPr>
        <w:pStyle w:val="Heading1"/>
      </w:pPr>
      <w:bookmarkStart w:id="0" w:name="_GoBack"/>
      <w:r>
        <w:t>Corporate Collective Investment Vehicle</w:t>
      </w:r>
      <w:r w:rsidR="00D4189B">
        <w:t>s</w:t>
      </w:r>
      <w:r w:rsidR="00D75494">
        <w:br/>
      </w:r>
      <w:r w:rsidR="00D75494" w:rsidRPr="00D75494">
        <w:t xml:space="preserve">Exposure draft law and </w:t>
      </w:r>
      <w:r w:rsidR="008312D5">
        <w:t xml:space="preserve">associated </w:t>
      </w:r>
      <w:r w:rsidR="00D75494" w:rsidRPr="00D75494">
        <w:t>explanatory materials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EE6FF" w:themeFill="accent1" w:themeFillTint="33"/>
        <w:tblCellMar>
          <w:top w:w="113" w:type="dxa"/>
          <w:bottom w:w="113" w:type="dxa"/>
        </w:tblCellMar>
        <w:tblLook w:val="04A0" w:firstRow="1" w:lastRow="0" w:firstColumn="1" w:lastColumn="0" w:noHBand="0" w:noVBand="1"/>
      </w:tblPr>
      <w:tblGrid>
        <w:gridCol w:w="9751"/>
      </w:tblGrid>
      <w:tr w:rsidR="00D75494" w:rsidRPr="00D75494" w14:paraId="2C95D407" w14:textId="77777777" w:rsidTr="00257032">
        <w:tc>
          <w:tcPr>
            <w:tcW w:w="9751" w:type="dxa"/>
            <w:shd w:val="clear" w:color="auto" w:fill="BEE6FF" w:themeFill="accent1" w:themeFillTint="33"/>
            <w:tcMar>
              <w:top w:w="113" w:type="dxa"/>
              <w:bottom w:w="113" w:type="dxa"/>
            </w:tcMar>
          </w:tcPr>
          <w:bookmarkEnd w:id="0"/>
          <w:p w14:paraId="07776F86" w14:textId="08E86913" w:rsidR="00D75494" w:rsidRPr="00D75494" w:rsidRDefault="00D75494" w:rsidP="00C831C8">
            <w:pPr>
              <w:pStyle w:val="Boldintroductiontext"/>
            </w:pPr>
            <w:r w:rsidRPr="00D75494">
              <w:t>To assist in identifying relevant issues</w:t>
            </w:r>
            <w:r w:rsidR="00BB18C3">
              <w:t>,</w:t>
            </w:r>
            <w:r w:rsidRPr="00D75494">
              <w:t xml:space="preserve"> </w:t>
            </w:r>
            <w:r w:rsidR="00E37BA9" w:rsidRPr="00F04F47">
              <w:t xml:space="preserve">this table sets out </w:t>
            </w:r>
            <w:r w:rsidR="00E37BA9">
              <w:t>further</w:t>
            </w:r>
            <w:r w:rsidR="00E37BA9" w:rsidRPr="00F04F47">
              <w:t xml:space="preserve"> </w:t>
            </w:r>
            <w:r w:rsidR="00E37BA9">
              <w:t>consequential amendments of the Corporations Act and other Acts</w:t>
            </w:r>
            <w:r w:rsidR="00E37BA9" w:rsidRPr="00F04F47">
              <w:t xml:space="preserve"> </w:t>
            </w:r>
            <w:r w:rsidR="00E37BA9">
              <w:t>for</w:t>
            </w:r>
            <w:r w:rsidR="00E37BA9" w:rsidRPr="00F04F47">
              <w:t xml:space="preserve"> the corporate collective investment vehicle (CCIV) regime and shows the relevant sections and references</w:t>
            </w:r>
            <w:r w:rsidRPr="00D75494">
              <w:t xml:space="preserve">. </w:t>
            </w:r>
          </w:p>
          <w:p w14:paraId="0BFE0F18" w14:textId="59105C82" w:rsidR="00D75494" w:rsidRPr="00D75494" w:rsidRDefault="00E37BA9" w:rsidP="00E37BA9">
            <w:pPr>
              <w:pStyle w:val="Boldintroductiontext"/>
            </w:pPr>
            <w:r w:rsidRPr="00F04F47">
              <w:t xml:space="preserve">This exposure draft </w:t>
            </w:r>
            <w:r>
              <w:t xml:space="preserve">includes draft provisions relating to depositary independence, external administration, takeovers, compulsory buy-outs and acquisitions, disclosure and fundraising, the Asia Region Funds Passport (ARFP), and other miscellaneous amendments (such as amendments to the </w:t>
            </w:r>
            <w:r w:rsidRPr="002358C2">
              <w:rPr>
                <w:i/>
              </w:rPr>
              <w:t>Australian Securities and Investments Commission Act 2001</w:t>
            </w:r>
            <w:r>
              <w:t xml:space="preserve"> (ASIC Act))</w:t>
            </w:r>
            <w:r w:rsidR="00BB18C3">
              <w:t>.</w:t>
            </w:r>
          </w:p>
        </w:tc>
      </w:tr>
    </w:tbl>
    <w:p w14:paraId="0AF3CEE3" w14:textId="77777777" w:rsidR="00D75494" w:rsidRDefault="00D75494" w:rsidP="00D75494"/>
    <w:tbl>
      <w:tblPr>
        <w:tblStyle w:val="TableGrid"/>
        <w:tblW w:w="9750" w:type="dxa"/>
        <w:tblBorders>
          <w:top w:val="single" w:sz="8" w:space="0" w:color="00ABBD" w:themeColor="accent6"/>
          <w:left w:val="single" w:sz="8" w:space="0" w:color="00ABBD" w:themeColor="accent6"/>
          <w:bottom w:val="single" w:sz="8" w:space="0" w:color="00ABBD" w:themeColor="accent6"/>
          <w:right w:val="single" w:sz="8" w:space="0" w:color="00ABBD" w:themeColor="accent6"/>
          <w:insideH w:val="single" w:sz="8" w:space="0" w:color="00ABBD" w:themeColor="accent6"/>
          <w:insideV w:val="single" w:sz="8" w:space="0" w:color="00ABBD" w:themeColor="accent6"/>
        </w:tblBorders>
        <w:tblLayout w:type="fixed"/>
        <w:tblLook w:val="04A0" w:firstRow="1" w:lastRow="0" w:firstColumn="1" w:lastColumn="0" w:noHBand="0" w:noVBand="1"/>
      </w:tblPr>
      <w:tblGrid>
        <w:gridCol w:w="3510"/>
        <w:gridCol w:w="1134"/>
        <w:gridCol w:w="5106"/>
      </w:tblGrid>
      <w:tr w:rsidR="00FC5CFB" w:rsidRPr="00FC5CFB" w14:paraId="616F5648" w14:textId="77777777" w:rsidTr="00C65B91">
        <w:trPr>
          <w:trHeight w:val="340"/>
          <w:tblHeader/>
        </w:trPr>
        <w:tc>
          <w:tcPr>
            <w:tcW w:w="3510" w:type="dxa"/>
            <w:shd w:val="clear" w:color="auto" w:fill="00ABBD" w:themeFill="accent6"/>
            <w:vAlign w:val="center"/>
          </w:tcPr>
          <w:p w14:paraId="465492BC" w14:textId="77777777" w:rsidR="00FC5CFB" w:rsidRPr="00FC5CFB" w:rsidRDefault="00FC5CFB" w:rsidP="00B6678C">
            <w:pPr>
              <w:rPr>
                <w:b/>
                <w:color w:val="FFFFFF" w:themeColor="background1"/>
              </w:rPr>
            </w:pPr>
            <w:r w:rsidRPr="00FC5CFB">
              <w:rPr>
                <w:b/>
                <w:color w:val="FFFFFF" w:themeColor="background1"/>
              </w:rPr>
              <w:t>Issue</w:t>
            </w:r>
          </w:p>
        </w:tc>
        <w:tc>
          <w:tcPr>
            <w:tcW w:w="1134" w:type="dxa"/>
            <w:shd w:val="clear" w:color="auto" w:fill="00ABBD" w:themeFill="accent6"/>
            <w:vAlign w:val="center"/>
          </w:tcPr>
          <w:p w14:paraId="358E1FF2" w14:textId="77777777" w:rsidR="00FC5CFB" w:rsidRPr="00FC5CFB" w:rsidRDefault="00FC5CFB" w:rsidP="00B6678C">
            <w:pPr>
              <w:rPr>
                <w:b/>
                <w:color w:val="FFFFFF" w:themeColor="background1"/>
              </w:rPr>
            </w:pPr>
            <w:r w:rsidRPr="00FC5CFB">
              <w:rPr>
                <w:b/>
                <w:color w:val="FFFFFF" w:themeColor="background1"/>
              </w:rPr>
              <w:t>Bill ref.</w:t>
            </w:r>
          </w:p>
        </w:tc>
        <w:tc>
          <w:tcPr>
            <w:tcW w:w="5106" w:type="dxa"/>
            <w:shd w:val="clear" w:color="auto" w:fill="00ABBD" w:themeFill="accent6"/>
            <w:vAlign w:val="center"/>
          </w:tcPr>
          <w:p w14:paraId="286C651A" w14:textId="77777777" w:rsidR="00FC5CFB" w:rsidRPr="00FC5CFB" w:rsidRDefault="00FC5CFB" w:rsidP="00B6678C">
            <w:pPr>
              <w:rPr>
                <w:b/>
                <w:color w:val="FFFFFF" w:themeColor="background1"/>
              </w:rPr>
            </w:pPr>
            <w:r w:rsidRPr="00FC5CFB">
              <w:rPr>
                <w:b/>
                <w:color w:val="FFFFFF" w:themeColor="background1"/>
              </w:rPr>
              <w:t>Brief explanation</w:t>
            </w:r>
          </w:p>
        </w:tc>
      </w:tr>
      <w:tr w:rsidR="00BB1387" w14:paraId="3F938C07" w14:textId="77777777" w:rsidTr="00C65B91">
        <w:trPr>
          <w:trHeight w:val="445"/>
        </w:trPr>
        <w:tc>
          <w:tcPr>
            <w:tcW w:w="9750" w:type="dxa"/>
            <w:gridSpan w:val="3"/>
          </w:tcPr>
          <w:p w14:paraId="5C157E1A" w14:textId="5125AE85" w:rsidR="00BB1387" w:rsidRPr="00BB1387" w:rsidRDefault="00BB1387" w:rsidP="00BB1387">
            <w:pPr>
              <w:pStyle w:val="Tabletextindent"/>
              <w:ind w:left="0"/>
              <w:rPr>
                <w:b/>
              </w:rPr>
            </w:pPr>
            <w:r w:rsidRPr="000D70FA">
              <w:rPr>
                <w:b/>
              </w:rPr>
              <w:t xml:space="preserve">Depositary independence </w:t>
            </w:r>
          </w:p>
        </w:tc>
      </w:tr>
      <w:tr w:rsidR="000D70FA" w14:paraId="788D58F8" w14:textId="77777777" w:rsidTr="00C65B91">
        <w:trPr>
          <w:trHeight w:val="445"/>
        </w:trPr>
        <w:tc>
          <w:tcPr>
            <w:tcW w:w="3510" w:type="dxa"/>
          </w:tcPr>
          <w:p w14:paraId="3BCCC2EA" w14:textId="52012340" w:rsidR="000D70FA" w:rsidRDefault="000D70FA" w:rsidP="00592307">
            <w:pPr>
              <w:pStyle w:val="Tabletextindent"/>
            </w:pPr>
            <w:r>
              <w:t>Who do the requirements apply to?</w:t>
            </w:r>
          </w:p>
        </w:tc>
        <w:tc>
          <w:tcPr>
            <w:tcW w:w="1134" w:type="dxa"/>
          </w:tcPr>
          <w:p w14:paraId="395E6718" w14:textId="6DF381A2" w:rsidR="000D70FA" w:rsidRDefault="000D70FA" w:rsidP="00B6678C">
            <w:r>
              <w:t>1234D</w:t>
            </w:r>
          </w:p>
        </w:tc>
        <w:tc>
          <w:tcPr>
            <w:tcW w:w="5106" w:type="dxa"/>
            <w:vMerge w:val="restart"/>
          </w:tcPr>
          <w:p w14:paraId="19A90CF3" w14:textId="77777777" w:rsidR="000D70FA" w:rsidRDefault="000D70FA" w:rsidP="000D70FA">
            <w:pPr>
              <w:pStyle w:val="Tabletext"/>
            </w:pPr>
            <w:r>
              <w:t>The depositary of a CCIV, any other entity performing depositary functions and any related bodies corporate of these entities must meet the independence requirement in relation to entities that direct investment decisions for the CCIV (in particular, the corporate director).</w:t>
            </w:r>
          </w:p>
          <w:p w14:paraId="05627A82" w14:textId="77777777" w:rsidR="000D70FA" w:rsidRDefault="000D70FA" w:rsidP="000D70FA">
            <w:pPr>
              <w:pStyle w:val="Tabletext"/>
            </w:pPr>
            <w:r>
              <w:t>The independence requirement consists of three tests:</w:t>
            </w:r>
          </w:p>
          <w:p w14:paraId="2E02717E" w14:textId="77777777" w:rsidR="000D70FA" w:rsidRDefault="000D70FA" w:rsidP="000D70FA">
            <w:pPr>
              <w:pStyle w:val="Tabletext"/>
              <w:numPr>
                <w:ilvl w:val="0"/>
                <w:numId w:val="5"/>
              </w:numPr>
              <w:ind w:left="360"/>
            </w:pPr>
            <w:r>
              <w:t>a structural independence test;</w:t>
            </w:r>
          </w:p>
          <w:p w14:paraId="2EC8C551" w14:textId="77777777" w:rsidR="000D70FA" w:rsidRDefault="000D70FA" w:rsidP="000D70FA">
            <w:pPr>
              <w:pStyle w:val="Tabletext"/>
              <w:numPr>
                <w:ilvl w:val="0"/>
                <w:numId w:val="5"/>
              </w:numPr>
              <w:ind w:left="360"/>
            </w:pPr>
            <w:r>
              <w:t>a voting/control test; and</w:t>
            </w:r>
          </w:p>
          <w:p w14:paraId="67468665" w14:textId="77777777" w:rsidR="000D70FA" w:rsidRDefault="000D70FA" w:rsidP="000D70FA">
            <w:pPr>
              <w:pStyle w:val="Tabletext"/>
              <w:numPr>
                <w:ilvl w:val="0"/>
                <w:numId w:val="5"/>
              </w:numPr>
              <w:ind w:left="360"/>
            </w:pPr>
            <w:r>
              <w:t xml:space="preserve">an independent director test.  </w:t>
            </w:r>
          </w:p>
          <w:p w14:paraId="179EC5F5" w14:textId="77777777" w:rsidR="000D70FA" w:rsidRDefault="000D70FA" w:rsidP="000D70FA">
            <w:pPr>
              <w:pStyle w:val="Tabletext"/>
            </w:pPr>
            <w:r w:rsidRPr="00CA7069">
              <w:t>If the depositary, any other entity performing depositary functions or any of their related bodies corporate fail any of the above three tests, then the depositary itself fails the independence requirement.</w:t>
            </w:r>
          </w:p>
          <w:p w14:paraId="411D05BF" w14:textId="77777777" w:rsidR="000D70FA" w:rsidRDefault="000D70FA" w:rsidP="000D70FA">
            <w:r w:rsidRPr="00CA7069">
              <w:t>If the depositary of a CCIV or any other entity performing depositary functions performs any other functions for the CCIV, then it must also comply with any functional independence requirements prescribed in the regulations.</w:t>
            </w:r>
          </w:p>
          <w:p w14:paraId="75A5E69F" w14:textId="66B37A78" w:rsidR="000D70FA" w:rsidRDefault="000D70FA" w:rsidP="00B6678C">
            <w:r>
              <w:t xml:space="preserve">See Chapter 2 of the explanatory materials for further </w:t>
            </w:r>
            <w:r>
              <w:lastRenderedPageBreak/>
              <w:t>information.</w:t>
            </w:r>
          </w:p>
        </w:tc>
      </w:tr>
      <w:tr w:rsidR="000D70FA" w14:paraId="1471BF0A" w14:textId="77777777" w:rsidTr="00C65B91">
        <w:trPr>
          <w:trHeight w:val="445"/>
        </w:trPr>
        <w:tc>
          <w:tcPr>
            <w:tcW w:w="3510" w:type="dxa"/>
          </w:tcPr>
          <w:p w14:paraId="161708AB" w14:textId="7D7281A4" w:rsidR="000D70FA" w:rsidRDefault="000D70FA" w:rsidP="00592307">
            <w:pPr>
              <w:pStyle w:val="Tabletextindent"/>
            </w:pPr>
            <w:r>
              <w:t>Structural independence test</w:t>
            </w:r>
          </w:p>
        </w:tc>
        <w:tc>
          <w:tcPr>
            <w:tcW w:w="1134" w:type="dxa"/>
          </w:tcPr>
          <w:p w14:paraId="0CB43CF3" w14:textId="20F7163C" w:rsidR="000D70FA" w:rsidRDefault="000D70FA" w:rsidP="00B6678C">
            <w:r>
              <w:t>1234DA</w:t>
            </w:r>
          </w:p>
        </w:tc>
        <w:tc>
          <w:tcPr>
            <w:tcW w:w="5106" w:type="dxa"/>
            <w:vMerge/>
          </w:tcPr>
          <w:p w14:paraId="7992EBEC" w14:textId="282E6693" w:rsidR="000D70FA" w:rsidRDefault="000D70FA" w:rsidP="00B6678C"/>
        </w:tc>
      </w:tr>
      <w:tr w:rsidR="000D70FA" w14:paraId="0B538D8C" w14:textId="77777777" w:rsidTr="00C65B91">
        <w:trPr>
          <w:trHeight w:val="445"/>
        </w:trPr>
        <w:tc>
          <w:tcPr>
            <w:tcW w:w="3510" w:type="dxa"/>
          </w:tcPr>
          <w:p w14:paraId="01C147E3" w14:textId="07C1D2D6" w:rsidR="000D70FA" w:rsidRDefault="000D70FA" w:rsidP="00592307">
            <w:pPr>
              <w:pStyle w:val="Tabletextindent"/>
            </w:pPr>
            <w:r>
              <w:t>Voting/control test</w:t>
            </w:r>
          </w:p>
        </w:tc>
        <w:tc>
          <w:tcPr>
            <w:tcW w:w="1134" w:type="dxa"/>
          </w:tcPr>
          <w:p w14:paraId="6EEF7022" w14:textId="50D934A0" w:rsidR="000D70FA" w:rsidRDefault="000D70FA" w:rsidP="00B6678C">
            <w:r>
              <w:t>1234DB</w:t>
            </w:r>
          </w:p>
        </w:tc>
        <w:tc>
          <w:tcPr>
            <w:tcW w:w="5106" w:type="dxa"/>
            <w:vMerge/>
          </w:tcPr>
          <w:p w14:paraId="72ADA9AF" w14:textId="05B27735" w:rsidR="000D70FA" w:rsidRDefault="000D70FA" w:rsidP="00B6678C"/>
        </w:tc>
      </w:tr>
      <w:tr w:rsidR="000D70FA" w14:paraId="1398F130" w14:textId="77777777" w:rsidTr="00C65B91">
        <w:trPr>
          <w:trHeight w:val="445"/>
        </w:trPr>
        <w:tc>
          <w:tcPr>
            <w:tcW w:w="3510" w:type="dxa"/>
          </w:tcPr>
          <w:p w14:paraId="38D6766F" w14:textId="15F712B8" w:rsidR="000D70FA" w:rsidRDefault="000D70FA" w:rsidP="00592307">
            <w:pPr>
              <w:pStyle w:val="Tabletextindent"/>
            </w:pPr>
            <w:r>
              <w:t>Independent director test</w:t>
            </w:r>
          </w:p>
        </w:tc>
        <w:tc>
          <w:tcPr>
            <w:tcW w:w="1134" w:type="dxa"/>
          </w:tcPr>
          <w:p w14:paraId="168A476F" w14:textId="37C4CF31" w:rsidR="000D70FA" w:rsidRDefault="000D70FA" w:rsidP="00B6678C">
            <w:r>
              <w:t>1234DC</w:t>
            </w:r>
          </w:p>
        </w:tc>
        <w:tc>
          <w:tcPr>
            <w:tcW w:w="5106" w:type="dxa"/>
            <w:vMerge/>
          </w:tcPr>
          <w:p w14:paraId="51E32F43" w14:textId="00D7B81D" w:rsidR="000D70FA" w:rsidRDefault="000D70FA" w:rsidP="00B6678C"/>
        </w:tc>
      </w:tr>
      <w:tr w:rsidR="000D70FA" w14:paraId="34058C6A" w14:textId="77777777" w:rsidTr="00C65B91">
        <w:trPr>
          <w:trHeight w:val="445"/>
        </w:trPr>
        <w:tc>
          <w:tcPr>
            <w:tcW w:w="3510" w:type="dxa"/>
          </w:tcPr>
          <w:p w14:paraId="11A2777E" w14:textId="32A59DE2" w:rsidR="000D70FA" w:rsidRDefault="000D70FA" w:rsidP="005D3E77">
            <w:pPr>
              <w:pStyle w:val="Tabletextindent"/>
            </w:pPr>
            <w:r>
              <w:t>Functional independence requirements</w:t>
            </w:r>
          </w:p>
          <w:p w14:paraId="03CD537B" w14:textId="41EF3A75" w:rsidR="000D70FA" w:rsidRDefault="000D70FA" w:rsidP="00592307">
            <w:pPr>
              <w:pStyle w:val="Tabletextindent"/>
            </w:pPr>
          </w:p>
        </w:tc>
        <w:tc>
          <w:tcPr>
            <w:tcW w:w="1134" w:type="dxa"/>
          </w:tcPr>
          <w:p w14:paraId="144D6850" w14:textId="77777777" w:rsidR="000D70FA" w:rsidRDefault="000D70FA" w:rsidP="005D3E77">
            <w:r>
              <w:t>1234QA</w:t>
            </w:r>
          </w:p>
          <w:p w14:paraId="7708549F" w14:textId="77777777" w:rsidR="000D70FA" w:rsidRDefault="000D70FA" w:rsidP="00B6678C"/>
        </w:tc>
        <w:tc>
          <w:tcPr>
            <w:tcW w:w="5106" w:type="dxa"/>
            <w:vMerge/>
          </w:tcPr>
          <w:p w14:paraId="15A347C8" w14:textId="26266085" w:rsidR="000D70FA" w:rsidRDefault="000D70FA" w:rsidP="00B6678C"/>
        </w:tc>
      </w:tr>
      <w:tr w:rsidR="00BB1387" w14:paraId="442A7329" w14:textId="77777777" w:rsidTr="00BD6543">
        <w:trPr>
          <w:trHeight w:val="382"/>
        </w:trPr>
        <w:tc>
          <w:tcPr>
            <w:tcW w:w="9750" w:type="dxa"/>
            <w:gridSpan w:val="3"/>
          </w:tcPr>
          <w:p w14:paraId="098165C9" w14:textId="023EB9C4" w:rsidR="00BB1387" w:rsidRPr="00BB1387" w:rsidRDefault="00BB1387" w:rsidP="00BB1387">
            <w:pPr>
              <w:pStyle w:val="Tabletextindent"/>
              <w:ind w:left="0"/>
              <w:rPr>
                <w:b/>
              </w:rPr>
            </w:pPr>
            <w:r w:rsidRPr="000D70FA">
              <w:rPr>
                <w:b/>
              </w:rPr>
              <w:lastRenderedPageBreak/>
              <w:t>External administration</w:t>
            </w:r>
          </w:p>
        </w:tc>
      </w:tr>
      <w:tr w:rsidR="000D70FA" w14:paraId="1E37A386" w14:textId="77777777" w:rsidTr="00C65B91">
        <w:trPr>
          <w:trHeight w:val="1066"/>
        </w:trPr>
        <w:tc>
          <w:tcPr>
            <w:tcW w:w="3510" w:type="dxa"/>
          </w:tcPr>
          <w:p w14:paraId="48D92248" w14:textId="518CEC2A" w:rsidR="000D70FA" w:rsidRDefault="000D70FA" w:rsidP="00592307">
            <w:pPr>
              <w:pStyle w:val="Tabletextindent"/>
            </w:pPr>
            <w:r>
              <w:t>General approach</w:t>
            </w:r>
          </w:p>
        </w:tc>
        <w:tc>
          <w:tcPr>
            <w:tcW w:w="1134" w:type="dxa"/>
          </w:tcPr>
          <w:p w14:paraId="4D04F41B" w14:textId="60AF1B3B" w:rsidR="000D70FA" w:rsidRDefault="000D70FA" w:rsidP="00B6678C">
            <w:r>
              <w:t>12-000; 12-015; 12-035;</w:t>
            </w:r>
            <w:r>
              <w:br/>
              <w:t>12-060;</w:t>
            </w:r>
            <w:r>
              <w:br/>
              <w:t xml:space="preserve">12-095 – </w:t>
            </w:r>
            <w:r>
              <w:br/>
              <w:t xml:space="preserve">12-110; </w:t>
            </w:r>
            <w:r>
              <w:br/>
              <w:t xml:space="preserve">12-260; </w:t>
            </w:r>
            <w:r>
              <w:br/>
              <w:t xml:space="preserve">12-275; </w:t>
            </w:r>
            <w:r>
              <w:br/>
              <w:t>12-290</w:t>
            </w:r>
          </w:p>
        </w:tc>
        <w:tc>
          <w:tcPr>
            <w:tcW w:w="5106" w:type="dxa"/>
          </w:tcPr>
          <w:p w14:paraId="64AECB7C" w14:textId="77777777" w:rsidR="000D70FA" w:rsidRDefault="000D70FA" w:rsidP="00B6678C">
            <w:r w:rsidRPr="002675CC">
              <w:t>External administration applies on a sub-fund-by-sub-fund basis</w:t>
            </w:r>
            <w:r>
              <w:t>, rather than at the CCIV-level</w:t>
            </w:r>
            <w:r w:rsidRPr="002675CC">
              <w:t>. This is achieved by applying five translation rules to the existing external admin</w:t>
            </w:r>
            <w:r>
              <w:t>istration provisions in Chapter </w:t>
            </w:r>
            <w:r w:rsidRPr="002675CC">
              <w:t>5.</w:t>
            </w:r>
          </w:p>
          <w:p w14:paraId="1501DF83" w14:textId="77777777" w:rsidR="000D70FA" w:rsidRPr="002675CC" w:rsidRDefault="000D70FA" w:rsidP="00076A72">
            <w:pPr>
              <w:pStyle w:val="Tabletext"/>
            </w:pPr>
            <w:r w:rsidRPr="002675CC">
              <w:t>The first translation rule replaces a reference in the provisions to the company undergoing external administration (the relevant company) with a reference to the sub-fund.</w:t>
            </w:r>
          </w:p>
          <w:p w14:paraId="03E86110" w14:textId="77777777" w:rsidR="000D70FA" w:rsidRDefault="000D70FA" w:rsidP="00076A72">
            <w:pPr>
              <w:pStyle w:val="Tabletext"/>
            </w:pPr>
            <w:r w:rsidRPr="002675CC">
              <w:t xml:space="preserve">The second translation rule replaces a reference to the ‘directors’ of the relevant company with a reference to the corporate director. </w:t>
            </w:r>
          </w:p>
          <w:p w14:paraId="04E04655" w14:textId="77777777" w:rsidR="000D70FA" w:rsidRPr="002675CC" w:rsidRDefault="000D70FA" w:rsidP="00076A72">
            <w:pPr>
              <w:pStyle w:val="Tabletext"/>
            </w:pPr>
            <w:r w:rsidRPr="002675CC">
              <w:t>The third translation rule replaces a reference to the ‘officers’ of the relevant company with a reference to the corporate director, a shadow director or an external administrator of a sub-fund.</w:t>
            </w:r>
          </w:p>
          <w:p w14:paraId="785E4606" w14:textId="77777777" w:rsidR="000D70FA" w:rsidRDefault="000D70FA" w:rsidP="00076A72">
            <w:r w:rsidRPr="002675CC">
              <w:t>The fourth and fifth translation rules replace a reference to the ‘shares’ or ‘debentures’ of the relevant company with a reference to the shares or debentures referable to the sub-fund.</w:t>
            </w:r>
          </w:p>
          <w:p w14:paraId="52158261" w14:textId="6BCA78E5" w:rsidR="000D70FA" w:rsidRDefault="000D70FA" w:rsidP="00076A72">
            <w:r>
              <w:t xml:space="preserve">See Chapter 3 of the explanatory materials for further information. </w:t>
            </w:r>
          </w:p>
        </w:tc>
      </w:tr>
      <w:tr w:rsidR="000D70FA" w14:paraId="033C9868" w14:textId="77777777" w:rsidTr="00C65B91">
        <w:trPr>
          <w:trHeight w:val="1066"/>
        </w:trPr>
        <w:tc>
          <w:tcPr>
            <w:tcW w:w="3510" w:type="dxa"/>
          </w:tcPr>
          <w:p w14:paraId="333E2C7C" w14:textId="2EE394A6" w:rsidR="000D70FA" w:rsidRDefault="000D70FA" w:rsidP="00592307">
            <w:pPr>
              <w:pStyle w:val="Tabletextindent"/>
            </w:pPr>
            <w:r>
              <w:t>Arrangements and reconstructions</w:t>
            </w:r>
          </w:p>
        </w:tc>
        <w:tc>
          <w:tcPr>
            <w:tcW w:w="1134" w:type="dxa"/>
          </w:tcPr>
          <w:p w14:paraId="733D536E" w14:textId="389F5584" w:rsidR="000D70FA" w:rsidRDefault="000D70FA" w:rsidP="00B6678C">
            <w:r>
              <w:t xml:space="preserve">12-005 – </w:t>
            </w:r>
            <w:r>
              <w:br/>
              <w:t>12-030</w:t>
            </w:r>
          </w:p>
        </w:tc>
        <w:tc>
          <w:tcPr>
            <w:tcW w:w="5106" w:type="dxa"/>
          </w:tcPr>
          <w:p w14:paraId="407B58D3" w14:textId="77777777" w:rsidR="000D70FA" w:rsidRDefault="000D70FA" w:rsidP="00B6678C">
            <w:r>
              <w:t>Su</w:t>
            </w:r>
            <w:r w:rsidRPr="002675CC">
              <w:t>b-funds may be rearranged within a CCIV or transferred between CCIVs. The new law also grants the Court additional powers to make orders in the CCIV context. This includes the power to make orders in relation to the assets and liabilities of a sub-fund</w:t>
            </w:r>
            <w:r>
              <w:t>.</w:t>
            </w:r>
          </w:p>
          <w:p w14:paraId="12B6A09E" w14:textId="04182F84" w:rsidR="000D70FA" w:rsidRDefault="000D70FA" w:rsidP="00B6678C">
            <w:r>
              <w:t>See Chapter 3 of the explanatory materials for further information.</w:t>
            </w:r>
          </w:p>
        </w:tc>
      </w:tr>
      <w:tr w:rsidR="000D70FA" w14:paraId="56497EBF" w14:textId="77777777" w:rsidTr="00C65B91">
        <w:trPr>
          <w:trHeight w:val="1066"/>
        </w:trPr>
        <w:tc>
          <w:tcPr>
            <w:tcW w:w="3510" w:type="dxa"/>
          </w:tcPr>
          <w:p w14:paraId="05C97CE0" w14:textId="406F2CD8" w:rsidR="000D70FA" w:rsidRDefault="000D70FA" w:rsidP="00592307">
            <w:pPr>
              <w:pStyle w:val="Tabletextindent"/>
            </w:pPr>
            <w:r>
              <w:t>Receivership</w:t>
            </w:r>
          </w:p>
        </w:tc>
        <w:tc>
          <w:tcPr>
            <w:tcW w:w="1134" w:type="dxa"/>
          </w:tcPr>
          <w:p w14:paraId="1DC83FEB" w14:textId="30FABFFC" w:rsidR="000D70FA" w:rsidRDefault="000D70FA" w:rsidP="00B6678C">
            <w:r>
              <w:t>Division 3 of Part 8B.12</w:t>
            </w:r>
          </w:p>
        </w:tc>
        <w:tc>
          <w:tcPr>
            <w:tcW w:w="5106" w:type="dxa"/>
          </w:tcPr>
          <w:p w14:paraId="18483167" w14:textId="003AA474" w:rsidR="000D70FA" w:rsidRDefault="000D70FA" w:rsidP="00873893">
            <w:pPr>
              <w:pStyle w:val="Tabletext"/>
            </w:pPr>
            <w:r>
              <w:t>R</w:t>
            </w:r>
            <w:r w:rsidRPr="002675CC">
              <w:t>eceiv</w:t>
            </w:r>
            <w:r w:rsidR="005D3E77">
              <w:t>ers are taken to be appointed for</w:t>
            </w:r>
            <w:r w:rsidRPr="002675CC">
              <w:t xml:space="preserve"> each sub-fund separately where the asset has been allocat</w:t>
            </w:r>
            <w:r>
              <w:t xml:space="preserve">ed to more than one sub-fund. </w:t>
            </w:r>
          </w:p>
          <w:p w14:paraId="1000D6D4" w14:textId="77777777" w:rsidR="000D70FA" w:rsidRDefault="000D70FA" w:rsidP="00873893">
            <w:r>
              <w:t>Re</w:t>
            </w:r>
            <w:r w:rsidRPr="002675CC">
              <w:t>ceivers have special powers to instruct the depositary and challenge allocation determinations before the Court</w:t>
            </w:r>
            <w:r>
              <w:t>.</w:t>
            </w:r>
          </w:p>
          <w:p w14:paraId="2648EA19" w14:textId="1E01A6F8" w:rsidR="000D70FA" w:rsidRDefault="000D70FA" w:rsidP="00873893">
            <w:r>
              <w:t>See Chapter 3 of the explanatory materials for further information.</w:t>
            </w:r>
          </w:p>
        </w:tc>
      </w:tr>
      <w:tr w:rsidR="000D70FA" w14:paraId="36C0975B" w14:textId="77777777" w:rsidTr="00C65B91">
        <w:trPr>
          <w:trHeight w:val="1066"/>
        </w:trPr>
        <w:tc>
          <w:tcPr>
            <w:tcW w:w="3510" w:type="dxa"/>
          </w:tcPr>
          <w:p w14:paraId="34432570" w14:textId="21218540" w:rsidR="000D70FA" w:rsidRDefault="000D70FA" w:rsidP="00592307">
            <w:pPr>
              <w:pStyle w:val="Tabletextindent"/>
            </w:pPr>
            <w:r>
              <w:lastRenderedPageBreak/>
              <w:t>Winding up</w:t>
            </w:r>
          </w:p>
        </w:tc>
        <w:tc>
          <w:tcPr>
            <w:tcW w:w="1134" w:type="dxa"/>
          </w:tcPr>
          <w:p w14:paraId="0F001075" w14:textId="2DB65A49" w:rsidR="000D70FA" w:rsidRDefault="000D70FA" w:rsidP="00B6678C">
            <w:r>
              <w:t>Division 4 of Part 8B.12</w:t>
            </w:r>
          </w:p>
        </w:tc>
        <w:tc>
          <w:tcPr>
            <w:tcW w:w="5106" w:type="dxa"/>
          </w:tcPr>
          <w:p w14:paraId="02869B34" w14:textId="77777777" w:rsidR="000D70FA" w:rsidRDefault="000D70FA" w:rsidP="00873893">
            <w:pPr>
              <w:pStyle w:val="Tabletext"/>
            </w:pPr>
            <w:r>
              <w:t>Only a sub-fund (not a CCIV) may be wound up.</w:t>
            </w:r>
          </w:p>
          <w:p w14:paraId="00FCD8D6" w14:textId="77777777" w:rsidR="000D70FA" w:rsidRDefault="000D70FA" w:rsidP="00873893">
            <w:pPr>
              <w:pStyle w:val="Tabletext"/>
            </w:pPr>
            <w:r>
              <w:t xml:space="preserve">A liquidator is appointed to a sub-fund. </w:t>
            </w:r>
            <w:r w:rsidRPr="005A0FE3">
              <w:t>A liquidator may only exercise a power or perform a function to the extent that it relates solely to the carrying on of the sub-fund that is being wound up.</w:t>
            </w:r>
            <w:r>
              <w:t xml:space="preserve"> </w:t>
            </w:r>
          </w:p>
          <w:p w14:paraId="7F172D08" w14:textId="77777777" w:rsidR="000D70FA" w:rsidRPr="005A0FE3" w:rsidRDefault="000D70FA" w:rsidP="00873893">
            <w:pPr>
              <w:pStyle w:val="Tabletext"/>
            </w:pPr>
            <w:r w:rsidRPr="00CE5A7A">
              <w:t>The corporate director remains in office but must not exercise a function or power that relates solely to the sub-fund that is being wound up.</w:t>
            </w:r>
          </w:p>
          <w:p w14:paraId="284EE7B3" w14:textId="77777777" w:rsidR="000D70FA" w:rsidRDefault="000D70FA" w:rsidP="00873893">
            <w:r>
              <w:t>A</w:t>
            </w:r>
            <w:r w:rsidRPr="002675CC">
              <w:t xml:space="preserve"> cre</w:t>
            </w:r>
            <w:r>
              <w:t>ditor must specify the sub-fund</w:t>
            </w:r>
            <w:r w:rsidRPr="002675CC">
              <w:t xml:space="preserve"> in a statutory demand or an application for the Court to order winding up.</w:t>
            </w:r>
            <w:r>
              <w:t xml:space="preserve"> The creditor may seek information about the identity of the sub-fund from the CCIV.</w:t>
            </w:r>
          </w:p>
          <w:p w14:paraId="10841905" w14:textId="1B979450" w:rsidR="000D70FA" w:rsidRDefault="000D70FA" w:rsidP="00873893">
            <w:r>
              <w:t>See Chapter 3 of the explanatory materials for further information.</w:t>
            </w:r>
          </w:p>
        </w:tc>
      </w:tr>
      <w:tr w:rsidR="000D70FA" w14:paraId="36ADDF61" w14:textId="77777777" w:rsidTr="00C65B91">
        <w:trPr>
          <w:trHeight w:val="1066"/>
        </w:trPr>
        <w:tc>
          <w:tcPr>
            <w:tcW w:w="3510" w:type="dxa"/>
          </w:tcPr>
          <w:p w14:paraId="2919F4DB" w14:textId="2D9A82C5" w:rsidR="000D70FA" w:rsidRDefault="000D70FA" w:rsidP="00592307">
            <w:pPr>
              <w:pStyle w:val="Tabletextindent"/>
            </w:pPr>
            <w:r>
              <w:t>Insolvent trading</w:t>
            </w:r>
          </w:p>
        </w:tc>
        <w:tc>
          <w:tcPr>
            <w:tcW w:w="1134" w:type="dxa"/>
          </w:tcPr>
          <w:p w14:paraId="63D344D5" w14:textId="1CD94829" w:rsidR="000D70FA" w:rsidRDefault="000D70FA" w:rsidP="00B6678C">
            <w:r>
              <w:t>Divisions 5 to 7 of Part 8B.12</w:t>
            </w:r>
          </w:p>
        </w:tc>
        <w:tc>
          <w:tcPr>
            <w:tcW w:w="5106" w:type="dxa"/>
          </w:tcPr>
          <w:p w14:paraId="65DA48E4" w14:textId="77777777" w:rsidR="000D70FA" w:rsidRDefault="000D70FA" w:rsidP="00873893">
            <w:pPr>
              <w:pStyle w:val="Tabletext"/>
            </w:pPr>
            <w:r>
              <w:t xml:space="preserve">Special translation rules apply to the insolvent trading </w:t>
            </w:r>
            <w:r w:rsidRPr="00AA3F3D">
              <w:t xml:space="preserve">provisions </w:t>
            </w:r>
            <w:r>
              <w:t>in Part 5.7B. These rules depart from t</w:t>
            </w:r>
            <w:r w:rsidRPr="00AA3F3D">
              <w:t xml:space="preserve">he second and third translation rules </w:t>
            </w:r>
            <w:r>
              <w:t>and</w:t>
            </w:r>
            <w:r w:rsidRPr="00AA3F3D">
              <w:t xml:space="preserve"> ensure that the natural person directors (rather than the </w:t>
            </w:r>
            <w:r>
              <w:t>corporate director) owe the duty to prevent insolvent trading</w:t>
            </w:r>
            <w:r w:rsidRPr="00AA3F3D">
              <w:t xml:space="preserve">. </w:t>
            </w:r>
          </w:p>
          <w:p w14:paraId="291E64A4" w14:textId="77777777" w:rsidR="000D70FA" w:rsidRDefault="000D70FA" w:rsidP="00873893">
            <w:r>
              <w:t>Bespoke amendments are made to apply some provisions in Parts 5.8 and 5.9 to the natural person directors. This includes the offence for fraud by officers (existing section 596) and the Court’s power to summons a person for mandatory examination (existing section 596A).</w:t>
            </w:r>
          </w:p>
          <w:p w14:paraId="3B047FF6" w14:textId="514DB80C" w:rsidR="000D70FA" w:rsidRDefault="000D70FA" w:rsidP="00873893">
            <w:r>
              <w:t>See Chapter 3 of the explanatory materials for further information.</w:t>
            </w:r>
          </w:p>
        </w:tc>
      </w:tr>
      <w:tr w:rsidR="00BB1387" w14:paraId="44FB9E86" w14:textId="77777777" w:rsidTr="00C65B91">
        <w:trPr>
          <w:trHeight w:val="378"/>
        </w:trPr>
        <w:tc>
          <w:tcPr>
            <w:tcW w:w="9750" w:type="dxa"/>
            <w:gridSpan w:val="3"/>
          </w:tcPr>
          <w:p w14:paraId="77F31F10" w14:textId="6F6705C5" w:rsidR="00BB1387" w:rsidRPr="00BB1387" w:rsidRDefault="00BB1387" w:rsidP="00BB1387">
            <w:pPr>
              <w:pStyle w:val="Tabletextindent"/>
              <w:ind w:left="0"/>
              <w:rPr>
                <w:b/>
              </w:rPr>
            </w:pPr>
            <w:r w:rsidRPr="00076A72">
              <w:rPr>
                <w:b/>
              </w:rPr>
              <w:t xml:space="preserve">Deregistration </w:t>
            </w:r>
          </w:p>
        </w:tc>
      </w:tr>
      <w:tr w:rsidR="000D70FA" w14:paraId="2FAF4EDF" w14:textId="77777777" w:rsidTr="00BD6543">
        <w:trPr>
          <w:trHeight w:val="554"/>
        </w:trPr>
        <w:tc>
          <w:tcPr>
            <w:tcW w:w="3510" w:type="dxa"/>
          </w:tcPr>
          <w:p w14:paraId="59DAF6EB" w14:textId="05DAEB80" w:rsidR="000D70FA" w:rsidRDefault="000D70FA" w:rsidP="00592307">
            <w:pPr>
              <w:pStyle w:val="Tabletextindent"/>
            </w:pPr>
            <w:r>
              <w:t>Deregistration of a sub-fund</w:t>
            </w:r>
          </w:p>
        </w:tc>
        <w:tc>
          <w:tcPr>
            <w:tcW w:w="1134" w:type="dxa"/>
          </w:tcPr>
          <w:p w14:paraId="403F75A7" w14:textId="2779B1D8" w:rsidR="000D70FA" w:rsidRDefault="000D70FA" w:rsidP="00B6678C">
            <w:r>
              <w:t>13-000 – 13</w:t>
            </w:r>
            <w:r>
              <w:noBreakHyphen/>
              <w:t>030</w:t>
            </w:r>
          </w:p>
        </w:tc>
        <w:tc>
          <w:tcPr>
            <w:tcW w:w="5106" w:type="dxa"/>
            <w:vMerge w:val="restart"/>
          </w:tcPr>
          <w:p w14:paraId="67ED34B0" w14:textId="77777777" w:rsidR="000D70FA" w:rsidRPr="0086295B" w:rsidRDefault="000D70FA" w:rsidP="00A572E3">
            <w:pPr>
              <w:pStyle w:val="tabletext0"/>
              <w:keepNext/>
              <w:keepLines/>
              <w:spacing w:before="120" w:after="120"/>
              <w:rPr>
                <w:rFonts w:asciiTheme="minorHAnsi" w:hAnsiTheme="minorHAnsi"/>
                <w:sz w:val="22"/>
                <w:szCs w:val="22"/>
              </w:rPr>
            </w:pPr>
            <w:r w:rsidRPr="0086295B">
              <w:rPr>
                <w:rFonts w:asciiTheme="minorHAnsi" w:hAnsiTheme="minorHAnsi"/>
                <w:sz w:val="22"/>
                <w:szCs w:val="22"/>
              </w:rPr>
              <w:t>A sub-fund may be voluntarily deregistered if the CCIV is not a party to any legal proceedings that relate to the sub-fund and the sub-fund has no remaining assets or liabilities.</w:t>
            </w:r>
          </w:p>
          <w:p w14:paraId="731B056B" w14:textId="120B409F" w:rsidR="000D70FA" w:rsidRDefault="000D70FA" w:rsidP="00A572E3">
            <w:pPr>
              <w:rPr>
                <w:rFonts w:asciiTheme="minorHAnsi" w:hAnsiTheme="minorHAnsi"/>
                <w:szCs w:val="22"/>
              </w:rPr>
            </w:pPr>
            <w:r>
              <w:rPr>
                <w:rFonts w:asciiTheme="minorHAnsi" w:hAnsiTheme="minorHAnsi"/>
                <w:szCs w:val="22"/>
              </w:rPr>
              <w:t>ASIC</w:t>
            </w:r>
            <w:r w:rsidRPr="0086295B">
              <w:rPr>
                <w:rFonts w:asciiTheme="minorHAnsi" w:hAnsiTheme="minorHAnsi"/>
                <w:szCs w:val="22"/>
              </w:rPr>
              <w:t xml:space="preserve"> may also initiate the deregistration of a sub-fund</w:t>
            </w:r>
            <w:r>
              <w:rPr>
                <w:rFonts w:asciiTheme="minorHAnsi" w:hAnsiTheme="minorHAnsi"/>
                <w:szCs w:val="22"/>
              </w:rPr>
              <w:t xml:space="preserve"> or the Court may order</w:t>
            </w:r>
            <w:r w:rsidRPr="0086295B">
              <w:rPr>
                <w:rFonts w:asciiTheme="minorHAnsi" w:hAnsiTheme="minorHAnsi"/>
                <w:szCs w:val="22"/>
              </w:rPr>
              <w:t xml:space="preserve"> </w:t>
            </w:r>
            <w:r>
              <w:rPr>
                <w:rFonts w:asciiTheme="minorHAnsi" w:hAnsiTheme="minorHAnsi"/>
                <w:szCs w:val="22"/>
              </w:rPr>
              <w:t>that</w:t>
            </w:r>
            <w:r w:rsidRPr="0086295B">
              <w:rPr>
                <w:rFonts w:asciiTheme="minorHAnsi" w:hAnsiTheme="minorHAnsi"/>
                <w:szCs w:val="22"/>
              </w:rPr>
              <w:t xml:space="preserve"> a sub-fund </w:t>
            </w:r>
            <w:r>
              <w:rPr>
                <w:rFonts w:asciiTheme="minorHAnsi" w:hAnsiTheme="minorHAnsi"/>
                <w:szCs w:val="22"/>
              </w:rPr>
              <w:t xml:space="preserve">be deregistered </w:t>
            </w:r>
            <w:r w:rsidRPr="0086295B">
              <w:rPr>
                <w:rFonts w:asciiTheme="minorHAnsi" w:hAnsiTheme="minorHAnsi"/>
                <w:szCs w:val="22"/>
              </w:rPr>
              <w:t>following the conclusion of an external administration procedure.</w:t>
            </w:r>
          </w:p>
          <w:p w14:paraId="018631BC" w14:textId="77777777" w:rsidR="000D70FA" w:rsidRDefault="000D70FA" w:rsidP="00A572E3">
            <w:pPr>
              <w:pStyle w:val="tabletext0"/>
              <w:spacing w:before="120" w:after="120"/>
              <w:rPr>
                <w:rFonts w:asciiTheme="minorHAnsi" w:hAnsiTheme="minorHAnsi"/>
                <w:sz w:val="22"/>
                <w:szCs w:val="22"/>
              </w:rPr>
            </w:pPr>
            <w:r w:rsidRPr="0086295B">
              <w:rPr>
                <w:rFonts w:asciiTheme="minorHAnsi" w:hAnsiTheme="minorHAnsi"/>
                <w:sz w:val="22"/>
                <w:szCs w:val="22"/>
              </w:rPr>
              <w:t>A CCIV must be deregistered if it does not have any registered sub-funds.</w:t>
            </w:r>
            <w:r>
              <w:rPr>
                <w:rFonts w:asciiTheme="minorHAnsi" w:hAnsiTheme="minorHAnsi"/>
                <w:sz w:val="22"/>
                <w:szCs w:val="22"/>
              </w:rPr>
              <w:t xml:space="preserve"> </w:t>
            </w:r>
          </w:p>
          <w:p w14:paraId="54BAD0D4" w14:textId="142EA881" w:rsidR="000D70FA" w:rsidRDefault="000D70FA" w:rsidP="00A572E3">
            <w:pPr>
              <w:rPr>
                <w:rFonts w:asciiTheme="minorHAnsi" w:hAnsiTheme="minorHAnsi"/>
                <w:szCs w:val="22"/>
              </w:rPr>
            </w:pPr>
            <w:r w:rsidRPr="0086295B">
              <w:rPr>
                <w:rFonts w:asciiTheme="minorHAnsi" w:hAnsiTheme="minorHAnsi"/>
                <w:szCs w:val="22"/>
              </w:rPr>
              <w:t>On deregistration, the CCIV ceases to exist.</w:t>
            </w:r>
          </w:p>
          <w:p w14:paraId="5D0320F9" w14:textId="131D0078" w:rsidR="000D70FA" w:rsidRDefault="000D70FA" w:rsidP="00A572E3">
            <w:r w:rsidRPr="0086295B">
              <w:rPr>
                <w:rFonts w:asciiTheme="minorHAnsi" w:hAnsiTheme="minorHAnsi"/>
                <w:szCs w:val="22"/>
              </w:rPr>
              <w:lastRenderedPageBreak/>
              <w:t>A deregistered sub-fund may be reinstated. If the CCIV has been deregistered, the CCIV must also be reinstated.</w:t>
            </w:r>
          </w:p>
          <w:p w14:paraId="5D91712A" w14:textId="2299EB0C" w:rsidR="000D70FA" w:rsidRDefault="000D70FA" w:rsidP="00B6678C">
            <w:r>
              <w:t>See Chapter 4 of the explanatory materials for further information.</w:t>
            </w:r>
          </w:p>
        </w:tc>
      </w:tr>
      <w:tr w:rsidR="000D70FA" w14:paraId="0C031999" w14:textId="77777777" w:rsidTr="00BD6543">
        <w:trPr>
          <w:trHeight w:val="578"/>
        </w:trPr>
        <w:tc>
          <w:tcPr>
            <w:tcW w:w="3510" w:type="dxa"/>
          </w:tcPr>
          <w:p w14:paraId="420CC834" w14:textId="2C1AFE48" w:rsidR="000D70FA" w:rsidRDefault="000D70FA" w:rsidP="00592307">
            <w:pPr>
              <w:pStyle w:val="Tabletextindent"/>
            </w:pPr>
            <w:r w:rsidRPr="00892850">
              <w:t xml:space="preserve">Deregistration of a </w:t>
            </w:r>
            <w:r>
              <w:t>CCIV</w:t>
            </w:r>
          </w:p>
        </w:tc>
        <w:tc>
          <w:tcPr>
            <w:tcW w:w="1134" w:type="dxa"/>
          </w:tcPr>
          <w:p w14:paraId="7F693A4B" w14:textId="17762FF8" w:rsidR="000D70FA" w:rsidRDefault="000D70FA" w:rsidP="00B6678C">
            <w:r>
              <w:t>13</w:t>
            </w:r>
            <w:r>
              <w:noBreakHyphen/>
              <w:t>050 – 13</w:t>
            </w:r>
            <w:r>
              <w:noBreakHyphen/>
              <w:t xml:space="preserve">060 </w:t>
            </w:r>
          </w:p>
        </w:tc>
        <w:tc>
          <w:tcPr>
            <w:tcW w:w="5106" w:type="dxa"/>
            <w:vMerge/>
          </w:tcPr>
          <w:p w14:paraId="02EE536C" w14:textId="0E6C56A8" w:rsidR="000D70FA" w:rsidRDefault="000D70FA" w:rsidP="00B6678C"/>
        </w:tc>
      </w:tr>
      <w:tr w:rsidR="000D70FA" w14:paraId="528DB316" w14:textId="77777777" w:rsidTr="00C65B91">
        <w:trPr>
          <w:trHeight w:val="1066"/>
        </w:trPr>
        <w:tc>
          <w:tcPr>
            <w:tcW w:w="3510" w:type="dxa"/>
          </w:tcPr>
          <w:p w14:paraId="7191891F" w14:textId="2E1FDD36" w:rsidR="000D70FA" w:rsidRDefault="000D70FA" w:rsidP="00873893">
            <w:pPr>
              <w:pStyle w:val="Tabletextindent"/>
            </w:pPr>
            <w:r>
              <w:t xml:space="preserve">Reinstatement </w:t>
            </w:r>
          </w:p>
        </w:tc>
        <w:tc>
          <w:tcPr>
            <w:tcW w:w="1134" w:type="dxa"/>
          </w:tcPr>
          <w:p w14:paraId="77465A20" w14:textId="244D776C" w:rsidR="000D70FA" w:rsidRDefault="000D70FA" w:rsidP="00B6678C">
            <w:r>
              <w:t>13-0</w:t>
            </w:r>
            <w:r w:rsidR="00950228">
              <w:t>35</w:t>
            </w:r>
            <w:r>
              <w:t xml:space="preserve">  – 13</w:t>
            </w:r>
            <w:r>
              <w:noBreakHyphen/>
              <w:t>045</w:t>
            </w:r>
          </w:p>
        </w:tc>
        <w:tc>
          <w:tcPr>
            <w:tcW w:w="5106" w:type="dxa"/>
            <w:vMerge/>
          </w:tcPr>
          <w:p w14:paraId="60FC852B" w14:textId="3B850E95" w:rsidR="000D70FA" w:rsidRDefault="000D70FA" w:rsidP="00B6678C"/>
        </w:tc>
      </w:tr>
      <w:tr w:rsidR="00BB1387" w14:paraId="3FCFC068" w14:textId="77777777" w:rsidTr="00C65B91">
        <w:trPr>
          <w:trHeight w:val="352"/>
        </w:trPr>
        <w:tc>
          <w:tcPr>
            <w:tcW w:w="9750" w:type="dxa"/>
            <w:gridSpan w:val="3"/>
          </w:tcPr>
          <w:p w14:paraId="4507302B" w14:textId="0655D6D5" w:rsidR="00BB1387" w:rsidRPr="00BB1387" w:rsidRDefault="00BB1387" w:rsidP="00BB1387">
            <w:pPr>
              <w:pStyle w:val="Tabletextindent"/>
              <w:ind w:left="0"/>
              <w:rPr>
                <w:b/>
              </w:rPr>
            </w:pPr>
            <w:r w:rsidRPr="00076A72">
              <w:rPr>
                <w:b/>
              </w:rPr>
              <w:lastRenderedPageBreak/>
              <w:t>Takeovers, compulsory acquisitions and buy-outs</w:t>
            </w:r>
          </w:p>
        </w:tc>
      </w:tr>
      <w:tr w:rsidR="000D70FA" w14:paraId="53CE3BBF" w14:textId="77777777" w:rsidTr="00C65B91">
        <w:trPr>
          <w:trHeight w:val="940"/>
        </w:trPr>
        <w:tc>
          <w:tcPr>
            <w:tcW w:w="3510" w:type="dxa"/>
          </w:tcPr>
          <w:p w14:paraId="431AF727" w14:textId="4D2D84B5" w:rsidR="000D70FA" w:rsidRDefault="000D70FA" w:rsidP="00592307">
            <w:pPr>
              <w:pStyle w:val="Tabletextindent"/>
            </w:pPr>
            <w:r>
              <w:t>Acquisition of a relevant interest in a CCIV not subject to requirements in the Act</w:t>
            </w:r>
          </w:p>
        </w:tc>
        <w:tc>
          <w:tcPr>
            <w:tcW w:w="1134" w:type="dxa"/>
          </w:tcPr>
          <w:p w14:paraId="7C885DB8" w14:textId="2D0D40D2" w:rsidR="000D70FA" w:rsidRDefault="000D70FA" w:rsidP="00B6678C">
            <w:r>
              <w:t>14-005</w:t>
            </w:r>
          </w:p>
        </w:tc>
        <w:tc>
          <w:tcPr>
            <w:tcW w:w="5106" w:type="dxa"/>
            <w:vMerge w:val="restart"/>
          </w:tcPr>
          <w:p w14:paraId="22392F5F" w14:textId="77777777" w:rsidR="000D70FA" w:rsidRDefault="000D70FA" w:rsidP="000D70FA">
            <w:pPr>
              <w:pStyle w:val="Tabletext"/>
            </w:pPr>
            <w:r w:rsidRPr="00AA3F3D">
              <w:t>The</w:t>
            </w:r>
            <w:r>
              <w:t xml:space="preserve"> takeovers, compulsory acquisitions and buy-outs rules set out in Chapter 6 of the Act do not apply to the acquisition of a relevant interest in a CCIV.</w:t>
            </w:r>
          </w:p>
          <w:p w14:paraId="06DB163F" w14:textId="77777777" w:rsidR="000D70FA" w:rsidRDefault="000D70FA" w:rsidP="000D70FA">
            <w:pPr>
              <w:pStyle w:val="Tabletext"/>
            </w:pPr>
            <w:r>
              <w:t>In the event of a takeover of a CCIV, the rules in Chapter 6A that require the bidder to compulsorily acquire or buy-out certain securities in the target company also do not apply to a target CCIV, nor do any related rules in Chapter 6B (regarding rights and liabilities in relation to Chapter 6 and 6A matters).</w:t>
            </w:r>
          </w:p>
          <w:p w14:paraId="1DF13459" w14:textId="77777777" w:rsidR="000D70FA" w:rsidRDefault="000D70FA" w:rsidP="000D70FA">
            <w:pPr>
              <w:pStyle w:val="Tabletext"/>
            </w:pPr>
            <w:r>
              <w:t>The Takeovers Panel does not have jurisdiction to declare circumstances in relation to the affairs of a CCIV to be unacceptable circumstances.</w:t>
            </w:r>
          </w:p>
          <w:p w14:paraId="4971FC6B" w14:textId="77777777" w:rsidR="000D70FA" w:rsidRDefault="000D70FA" w:rsidP="000D70FA">
            <w:pPr>
              <w:pStyle w:val="Tabletext"/>
            </w:pPr>
            <w:r>
              <w:t>The rules in Chapter 6C (regarding the production of information about ownership in listed companies and managed investment schemes) do not apply to CCIVs because a CCIV will be prohibited from being listed on a prescribed financial market.</w:t>
            </w:r>
          </w:p>
          <w:p w14:paraId="7DC5B826" w14:textId="34ED76A7" w:rsidR="000D70FA" w:rsidRDefault="000D70FA" w:rsidP="000D70FA">
            <w:r>
              <w:t>CCIVs are not exempt from the takeovers, compulsory acquisitions and buy-outs rules when they are proposing to acquire or hold, an interest in any entity that is the subject of these rules (for example, when a CCIV is the bidder in a takeover process).</w:t>
            </w:r>
          </w:p>
          <w:p w14:paraId="168051C9" w14:textId="2E53C9FF" w:rsidR="000D70FA" w:rsidRDefault="000D70FA" w:rsidP="00B6678C">
            <w:r>
              <w:t xml:space="preserve">See Chapter 5 </w:t>
            </w:r>
            <w:r w:rsidR="005D3E77">
              <w:t xml:space="preserve">of the explanatory materials </w:t>
            </w:r>
            <w:r>
              <w:t>for further information.</w:t>
            </w:r>
          </w:p>
        </w:tc>
      </w:tr>
      <w:tr w:rsidR="000D70FA" w14:paraId="2F4DCDEB" w14:textId="77777777" w:rsidTr="00C65B91">
        <w:trPr>
          <w:trHeight w:val="529"/>
        </w:trPr>
        <w:tc>
          <w:tcPr>
            <w:tcW w:w="3510" w:type="dxa"/>
          </w:tcPr>
          <w:p w14:paraId="157BE3EE" w14:textId="4E429535" w:rsidR="000D70FA" w:rsidRDefault="000D70FA" w:rsidP="00592307">
            <w:pPr>
              <w:pStyle w:val="Tabletextindent"/>
            </w:pPr>
            <w:r>
              <w:t>Compulsory acquisitions and buy-outs</w:t>
            </w:r>
          </w:p>
        </w:tc>
        <w:tc>
          <w:tcPr>
            <w:tcW w:w="1134" w:type="dxa"/>
          </w:tcPr>
          <w:p w14:paraId="4CE3CDAB" w14:textId="4EC748D9" w:rsidR="000D70FA" w:rsidRDefault="000D70FA" w:rsidP="00B6678C">
            <w:r>
              <w:t>14-015</w:t>
            </w:r>
          </w:p>
        </w:tc>
        <w:tc>
          <w:tcPr>
            <w:tcW w:w="5106" w:type="dxa"/>
            <w:vMerge/>
          </w:tcPr>
          <w:p w14:paraId="5A55F967" w14:textId="18F121B7" w:rsidR="000D70FA" w:rsidRDefault="000D70FA" w:rsidP="00B6678C"/>
        </w:tc>
      </w:tr>
      <w:tr w:rsidR="000D70FA" w14:paraId="24000915" w14:textId="77777777" w:rsidTr="00C65B91">
        <w:trPr>
          <w:trHeight w:val="1066"/>
        </w:trPr>
        <w:tc>
          <w:tcPr>
            <w:tcW w:w="3510" w:type="dxa"/>
          </w:tcPr>
          <w:p w14:paraId="43CF206E" w14:textId="48A721C4" w:rsidR="000D70FA" w:rsidRDefault="000D70FA" w:rsidP="00592307">
            <w:pPr>
              <w:pStyle w:val="Tabletextindent"/>
            </w:pPr>
            <w:r>
              <w:t>Exemption from Takeovers Panel’s jurisdiction</w:t>
            </w:r>
          </w:p>
        </w:tc>
        <w:tc>
          <w:tcPr>
            <w:tcW w:w="1134" w:type="dxa"/>
          </w:tcPr>
          <w:p w14:paraId="7C1BF233" w14:textId="56063EE1" w:rsidR="000D70FA" w:rsidRDefault="000D70FA" w:rsidP="00B6678C">
            <w:r>
              <w:t>14-010</w:t>
            </w:r>
          </w:p>
        </w:tc>
        <w:tc>
          <w:tcPr>
            <w:tcW w:w="5106" w:type="dxa"/>
            <w:vMerge/>
          </w:tcPr>
          <w:p w14:paraId="5727915A" w14:textId="21F33FDF" w:rsidR="000D70FA" w:rsidRDefault="000D70FA" w:rsidP="00B6678C"/>
        </w:tc>
      </w:tr>
      <w:tr w:rsidR="00BB1387" w14:paraId="6CCE0FE8" w14:textId="77777777" w:rsidTr="00BD6543">
        <w:trPr>
          <w:trHeight w:val="302"/>
        </w:trPr>
        <w:tc>
          <w:tcPr>
            <w:tcW w:w="9750" w:type="dxa"/>
            <w:gridSpan w:val="3"/>
          </w:tcPr>
          <w:p w14:paraId="3A04FF97" w14:textId="059B5212" w:rsidR="00BB1387" w:rsidRPr="00BB1387" w:rsidRDefault="00BB1387" w:rsidP="00BB1387">
            <w:pPr>
              <w:pStyle w:val="Tabletextindent"/>
              <w:ind w:left="0"/>
              <w:rPr>
                <w:b/>
              </w:rPr>
            </w:pPr>
            <w:r w:rsidRPr="00076A72">
              <w:rPr>
                <w:b/>
              </w:rPr>
              <w:t>Disclosure and fundraising</w:t>
            </w:r>
          </w:p>
        </w:tc>
      </w:tr>
      <w:tr w:rsidR="000D70FA" w14:paraId="1F30647C" w14:textId="77777777" w:rsidTr="00C65B91">
        <w:trPr>
          <w:trHeight w:val="420"/>
        </w:trPr>
        <w:tc>
          <w:tcPr>
            <w:tcW w:w="3510" w:type="dxa"/>
          </w:tcPr>
          <w:p w14:paraId="12A75215" w14:textId="024FF59B" w:rsidR="000D70FA" w:rsidRDefault="000D70FA" w:rsidP="00592307">
            <w:pPr>
              <w:pStyle w:val="Tabletextindent"/>
            </w:pPr>
            <w:r>
              <w:t>Continuous disclosure</w:t>
            </w:r>
          </w:p>
        </w:tc>
        <w:tc>
          <w:tcPr>
            <w:tcW w:w="1134" w:type="dxa"/>
          </w:tcPr>
          <w:p w14:paraId="3804AB0C" w14:textId="30A3D491" w:rsidR="000D70FA" w:rsidRDefault="000D70FA" w:rsidP="00B6678C">
            <w:r>
              <w:t>15-000</w:t>
            </w:r>
          </w:p>
        </w:tc>
        <w:tc>
          <w:tcPr>
            <w:tcW w:w="5106" w:type="dxa"/>
            <w:vMerge w:val="restart"/>
          </w:tcPr>
          <w:p w14:paraId="3A50CA22" w14:textId="77777777" w:rsidR="000D70FA" w:rsidRDefault="000D70FA" w:rsidP="000D70FA">
            <w:pPr>
              <w:pStyle w:val="Tabletext"/>
            </w:pPr>
            <w:r>
              <w:t>CCIVs that are disclosing entities are subject to the continuous disclosure requirements in Chapter 6CA.</w:t>
            </w:r>
          </w:p>
          <w:p w14:paraId="4867552A" w14:textId="77777777" w:rsidR="000D70FA" w:rsidRDefault="000D70FA" w:rsidP="000D70FA">
            <w:pPr>
              <w:pStyle w:val="Tabletext"/>
            </w:pPr>
            <w:r>
              <w:t>The disclosure and fundraising rules in Chapter 6D do not apply to offers of securities in a CCIV. Instead, the offer, or issue, of securities in a CCIV is subject to the PDS disclosure regime under Chapter 7.</w:t>
            </w:r>
          </w:p>
          <w:p w14:paraId="72DB327E" w14:textId="3F3B0BCB" w:rsidR="000D70FA" w:rsidRDefault="000D70FA" w:rsidP="000D70FA">
            <w:r>
              <w:t>A person is prohibited from offering securities in a CCIV that does not exist, or a sub-fund that is not established, even if it is proposed to incorporate the CCIV or register the sub-fund. Some related provisions in Chapter 6D apply to this prohibition.</w:t>
            </w:r>
          </w:p>
          <w:p w14:paraId="2622C6C6" w14:textId="231D7D1A" w:rsidR="000D70FA" w:rsidRDefault="000D70FA" w:rsidP="00B6678C">
            <w:r>
              <w:t xml:space="preserve">See Chapter 5 </w:t>
            </w:r>
            <w:r w:rsidR="00BD6543">
              <w:t xml:space="preserve">of the explanatory materials </w:t>
            </w:r>
            <w:r>
              <w:t>for further information.</w:t>
            </w:r>
          </w:p>
        </w:tc>
      </w:tr>
      <w:tr w:rsidR="000D70FA" w14:paraId="4493E2F5" w14:textId="77777777" w:rsidTr="00C65B91">
        <w:trPr>
          <w:trHeight w:val="418"/>
        </w:trPr>
        <w:tc>
          <w:tcPr>
            <w:tcW w:w="3510" w:type="dxa"/>
          </w:tcPr>
          <w:p w14:paraId="226E46FA" w14:textId="60439143" w:rsidR="000D70FA" w:rsidRDefault="000D70FA" w:rsidP="00592307">
            <w:pPr>
              <w:pStyle w:val="Tabletextindent"/>
            </w:pPr>
            <w:r>
              <w:t>Fundraising</w:t>
            </w:r>
          </w:p>
        </w:tc>
        <w:tc>
          <w:tcPr>
            <w:tcW w:w="1134" w:type="dxa"/>
          </w:tcPr>
          <w:p w14:paraId="7BA5AB40" w14:textId="4C7C8693" w:rsidR="000D70FA" w:rsidRDefault="000D70FA" w:rsidP="00B6678C">
            <w:r>
              <w:t>16-000</w:t>
            </w:r>
          </w:p>
        </w:tc>
        <w:tc>
          <w:tcPr>
            <w:tcW w:w="5106" w:type="dxa"/>
            <w:vMerge/>
          </w:tcPr>
          <w:p w14:paraId="1DA7AC90" w14:textId="5BB57F29" w:rsidR="000D70FA" w:rsidRDefault="000D70FA" w:rsidP="00B6678C"/>
        </w:tc>
      </w:tr>
      <w:tr w:rsidR="000D70FA" w14:paraId="2A5A2724" w14:textId="77777777" w:rsidTr="00C65B91">
        <w:trPr>
          <w:trHeight w:val="1066"/>
        </w:trPr>
        <w:tc>
          <w:tcPr>
            <w:tcW w:w="3510" w:type="dxa"/>
          </w:tcPr>
          <w:p w14:paraId="10924153" w14:textId="2B829AE1" w:rsidR="000D70FA" w:rsidRDefault="000D70FA" w:rsidP="00592307">
            <w:pPr>
              <w:pStyle w:val="Tabletextindent"/>
            </w:pPr>
            <w:r>
              <w:t>Prohibition on offering securities in a CCIV that does not exist, or a sub-fund that is not established</w:t>
            </w:r>
          </w:p>
        </w:tc>
        <w:tc>
          <w:tcPr>
            <w:tcW w:w="1134" w:type="dxa"/>
          </w:tcPr>
          <w:p w14:paraId="55E0BA8F" w14:textId="478A9BAA" w:rsidR="000D70FA" w:rsidRDefault="000D70FA" w:rsidP="00B6678C">
            <w:r>
              <w:t>16-005</w:t>
            </w:r>
          </w:p>
        </w:tc>
        <w:tc>
          <w:tcPr>
            <w:tcW w:w="5106" w:type="dxa"/>
            <w:vMerge/>
          </w:tcPr>
          <w:p w14:paraId="2961DCA3" w14:textId="327E37DE" w:rsidR="000D70FA" w:rsidRDefault="000D70FA" w:rsidP="00B6678C"/>
        </w:tc>
      </w:tr>
      <w:tr w:rsidR="00BB1387" w14:paraId="46D35A43" w14:textId="77777777" w:rsidTr="00BD6543">
        <w:trPr>
          <w:trHeight w:val="334"/>
        </w:trPr>
        <w:tc>
          <w:tcPr>
            <w:tcW w:w="9750" w:type="dxa"/>
            <w:gridSpan w:val="3"/>
          </w:tcPr>
          <w:p w14:paraId="4D40B7AE" w14:textId="54AD088C" w:rsidR="00BB1387" w:rsidRPr="00BB1387" w:rsidRDefault="00BB1387" w:rsidP="00BB1387">
            <w:pPr>
              <w:pStyle w:val="Tabletextindent"/>
              <w:ind w:left="0"/>
              <w:rPr>
                <w:b/>
              </w:rPr>
            </w:pPr>
            <w:r w:rsidRPr="00076A72">
              <w:rPr>
                <w:b/>
              </w:rPr>
              <w:t>Asia Region Funds Passport</w:t>
            </w:r>
          </w:p>
        </w:tc>
      </w:tr>
      <w:tr w:rsidR="000D70FA" w14:paraId="6A73E38C" w14:textId="77777777" w:rsidTr="00C65B91">
        <w:trPr>
          <w:trHeight w:val="1066"/>
        </w:trPr>
        <w:tc>
          <w:tcPr>
            <w:tcW w:w="3510" w:type="dxa"/>
          </w:tcPr>
          <w:p w14:paraId="4ED9A518" w14:textId="210F8A86" w:rsidR="000D70FA" w:rsidRDefault="000D70FA" w:rsidP="00592307">
            <w:pPr>
              <w:pStyle w:val="Tabletextindent"/>
            </w:pPr>
            <w:r>
              <w:t>Sub-fund of a retail CCIV may become an Australian passport fund</w:t>
            </w:r>
          </w:p>
        </w:tc>
        <w:tc>
          <w:tcPr>
            <w:tcW w:w="1134" w:type="dxa"/>
          </w:tcPr>
          <w:p w14:paraId="0E9F6FA0" w14:textId="5D616CF7" w:rsidR="000D70FA" w:rsidRDefault="000D70FA" w:rsidP="00BB1387">
            <w:r>
              <w:t>Schedule 6, item</w:t>
            </w:r>
            <w:r w:rsidR="00BB1387">
              <w:t>s</w:t>
            </w:r>
            <w:r>
              <w:t xml:space="preserve"> 1</w:t>
            </w:r>
            <w:r w:rsidR="00BB1387">
              <w:t>,</w:t>
            </w:r>
            <w:r>
              <w:t xml:space="preserve"> 3 – 15</w:t>
            </w:r>
          </w:p>
        </w:tc>
        <w:tc>
          <w:tcPr>
            <w:tcW w:w="5106" w:type="dxa"/>
          </w:tcPr>
          <w:p w14:paraId="44B32431" w14:textId="2A0FFDC6" w:rsidR="000D70FA" w:rsidRDefault="000D70FA" w:rsidP="005D3E77">
            <w:pPr>
              <w:pStyle w:val="Tabletext"/>
            </w:pPr>
            <w:r w:rsidRPr="009341A7">
              <w:t>A sub-fund of a retail CCIV may become an Australian passport fund</w:t>
            </w:r>
            <w:r>
              <w:t>, subject to meeting the requirements for Australian passport funds contained in Part 8A of the Act</w:t>
            </w:r>
            <w:r w:rsidRPr="009341A7">
              <w:t xml:space="preserve">. </w:t>
            </w:r>
          </w:p>
          <w:p w14:paraId="593173C8" w14:textId="77777777" w:rsidR="000D70FA" w:rsidRDefault="000D70FA" w:rsidP="00B6678C">
            <w:r w:rsidRPr="009341A7">
              <w:t>The corporate director of the CCIV is the operator of the fund.</w:t>
            </w:r>
          </w:p>
          <w:p w14:paraId="158A01CD" w14:textId="50DF4965" w:rsidR="000D70FA" w:rsidRDefault="000D70FA" w:rsidP="00B6678C">
            <w:r>
              <w:t>See Chapter 6 of the explanatory materials for further information.</w:t>
            </w:r>
          </w:p>
        </w:tc>
      </w:tr>
      <w:tr w:rsidR="00BB1387" w14:paraId="13309828" w14:textId="77777777" w:rsidTr="00BD6543">
        <w:trPr>
          <w:trHeight w:val="233"/>
        </w:trPr>
        <w:tc>
          <w:tcPr>
            <w:tcW w:w="9750" w:type="dxa"/>
            <w:gridSpan w:val="3"/>
          </w:tcPr>
          <w:p w14:paraId="70D0BEB2" w14:textId="444FA2F7" w:rsidR="00BB1387" w:rsidRPr="00BB1387" w:rsidRDefault="00BB1387" w:rsidP="00BB1387">
            <w:pPr>
              <w:pStyle w:val="Tabletextindent"/>
              <w:ind w:left="0"/>
              <w:rPr>
                <w:b/>
              </w:rPr>
            </w:pPr>
            <w:r w:rsidRPr="000D70FA">
              <w:rPr>
                <w:b/>
              </w:rPr>
              <w:t>Amendments to the ASIC Act</w:t>
            </w:r>
          </w:p>
        </w:tc>
      </w:tr>
      <w:tr w:rsidR="000D70FA" w14:paraId="55BA7BDA" w14:textId="77777777" w:rsidTr="00BD6543">
        <w:trPr>
          <w:trHeight w:val="537"/>
        </w:trPr>
        <w:tc>
          <w:tcPr>
            <w:tcW w:w="3510" w:type="dxa"/>
          </w:tcPr>
          <w:p w14:paraId="67A62768" w14:textId="0A2F07F3" w:rsidR="000D70FA" w:rsidRDefault="000D70FA" w:rsidP="00592307">
            <w:pPr>
              <w:pStyle w:val="Tabletextindent"/>
            </w:pPr>
            <w:r>
              <w:t>Who is an ‘eligible person’ in relation to a CCIV?</w:t>
            </w:r>
          </w:p>
        </w:tc>
        <w:tc>
          <w:tcPr>
            <w:tcW w:w="1134" w:type="dxa"/>
          </w:tcPr>
          <w:p w14:paraId="6C42B7FD" w14:textId="36D1951A" w:rsidR="000D70FA" w:rsidRDefault="000D70FA" w:rsidP="00B6678C">
            <w:r>
              <w:t>Schedule 7, items 1 – 3</w:t>
            </w:r>
          </w:p>
        </w:tc>
        <w:tc>
          <w:tcPr>
            <w:tcW w:w="5106" w:type="dxa"/>
            <w:vMerge w:val="restart"/>
          </w:tcPr>
          <w:p w14:paraId="72F1A4BB" w14:textId="77777777" w:rsidR="000D70FA" w:rsidRDefault="000D70FA" w:rsidP="000D70FA">
            <w:pPr>
              <w:pStyle w:val="Tabletext"/>
            </w:pPr>
            <w:r>
              <w:t xml:space="preserve">Provisions relating to ASIC’s powers and jurisdiction are amended to apply appropriately to CCIVs and corporate directors. </w:t>
            </w:r>
          </w:p>
          <w:p w14:paraId="3B4984DB" w14:textId="77777777" w:rsidR="000D70FA" w:rsidRDefault="000D70FA" w:rsidP="000D70FA">
            <w:pPr>
              <w:pStyle w:val="Tabletext"/>
            </w:pPr>
            <w:r w:rsidRPr="007D5070">
              <w:t>The definition of ‘eligible person’ extends to the corporate director of a CCIV or liquidator of a sub</w:t>
            </w:r>
            <w:r w:rsidRPr="007D5070">
              <w:noBreakHyphen/>
              <w:t xml:space="preserve">fund, as well as the officers of the corporate director or liquidator. </w:t>
            </w:r>
          </w:p>
          <w:p w14:paraId="0C5B2871" w14:textId="0E7AA732" w:rsidR="000D70FA" w:rsidRDefault="000D70FA" w:rsidP="000D70FA">
            <w:r>
              <w:t>The definition of ‘financial services’ and ‘custodial or depository services’ for the purposes of provisions of the ASIC Act that deal with unconscionable conduct in relation to financial services are aligned with the definitions of these terms in Chapter 7 of the Corporations Act. Elsewhere in the ASIC Act the Chapter 7 definitions apply automatically.</w:t>
            </w:r>
          </w:p>
          <w:p w14:paraId="3515D83F" w14:textId="77777777" w:rsidR="000D70FA" w:rsidRDefault="000D70FA" w:rsidP="000D70FA">
            <w:pPr>
              <w:pStyle w:val="Tabletext"/>
              <w:tabs>
                <w:tab w:val="left" w:pos="1065"/>
              </w:tabs>
            </w:pPr>
            <w:r w:rsidRPr="0022133D">
              <w:t xml:space="preserve">For the purposes of Division 2 of Part 2 of the ASIC Act conduct is attributed to a CCIV in the same manner as in Chapter 7 of the </w:t>
            </w:r>
            <w:r>
              <w:t xml:space="preserve">Corporations </w:t>
            </w:r>
            <w:r w:rsidRPr="0022133D">
              <w:t>Act.</w:t>
            </w:r>
            <w:r>
              <w:t xml:space="preserve"> The standard liability framework for CCIVs applies for the rest of the ASIC Act.</w:t>
            </w:r>
          </w:p>
          <w:p w14:paraId="2215A6B4" w14:textId="77777777" w:rsidR="000D70FA" w:rsidRDefault="000D70FA" w:rsidP="000D70FA">
            <w:pPr>
              <w:pStyle w:val="Tabletext"/>
              <w:tabs>
                <w:tab w:val="left" w:pos="1065"/>
              </w:tabs>
            </w:pPr>
            <w:r w:rsidRPr="0022133D">
              <w:t>For the purposes of Subdivision D of Division 2 of Part</w:t>
            </w:r>
            <w:r>
              <w:t> </w:t>
            </w:r>
            <w:r w:rsidRPr="0022133D">
              <w:t>2 of the ASIC Act, a CCIV cannot rely on information or conduct by an agent or corporate director of the CCIV</w:t>
            </w:r>
            <w:r>
              <w:t xml:space="preserve">, or </w:t>
            </w:r>
            <w:r w:rsidRPr="0022133D">
              <w:t>an employee, director or agent of the</w:t>
            </w:r>
            <w:r>
              <w:t xml:space="preserve"> corporate director of the CCIV,</w:t>
            </w:r>
            <w:r w:rsidRPr="0022133D">
              <w:t xml:space="preserve"> as a defence for a contravention</w:t>
            </w:r>
            <w:r>
              <w:t>.</w:t>
            </w:r>
          </w:p>
          <w:p w14:paraId="33A91B9C" w14:textId="3664BC8D" w:rsidR="000D70FA" w:rsidRDefault="000D70FA" w:rsidP="000D70FA">
            <w:pPr>
              <w:pStyle w:val="Tabletext"/>
            </w:pPr>
            <w:r w:rsidRPr="0022133D">
              <w:t xml:space="preserve">If ASIC makes a requirement of a CCIV, it can make that same requirement of an officer of the CCIV </w:t>
            </w:r>
            <w:r w:rsidR="00C5306A">
              <w:t>or</w:t>
            </w:r>
            <w:r>
              <w:t xml:space="preserve"> </w:t>
            </w:r>
            <w:r w:rsidRPr="0022133D">
              <w:t xml:space="preserve">an officer or employee of the corporate director. </w:t>
            </w:r>
          </w:p>
          <w:p w14:paraId="79950FCD" w14:textId="77777777" w:rsidR="000D70FA" w:rsidRDefault="000D70FA" w:rsidP="000D70FA">
            <w:pPr>
              <w:pStyle w:val="Tabletext"/>
            </w:pPr>
            <w:r w:rsidRPr="0022133D">
              <w:t xml:space="preserve">A corporate director of a CCIV may give an enforceable undertaking in relation to conduct concerning the CCIV. </w:t>
            </w:r>
          </w:p>
          <w:p w14:paraId="5612DDAF" w14:textId="77777777" w:rsidR="000D70FA" w:rsidRDefault="000D70FA" w:rsidP="00B6678C">
            <w:r w:rsidRPr="0022133D">
              <w:t>Where the CCIV is providing financial services, the corporate director is treated as also providing those financial services. However, this is</w:t>
            </w:r>
            <w:r>
              <w:t xml:space="preserve"> not the case where the CCIV is issuing a security, </w:t>
            </w:r>
            <w:r w:rsidRPr="0022133D">
              <w:t>participating in a clearing and settlement fa</w:t>
            </w:r>
            <w:r>
              <w:t xml:space="preserve">cility or </w:t>
            </w:r>
            <w:r w:rsidRPr="0022133D">
              <w:t>participating in a financial market.</w:t>
            </w:r>
          </w:p>
          <w:p w14:paraId="569964BD" w14:textId="2B1CC7F0" w:rsidR="000D70FA" w:rsidRDefault="000D70FA" w:rsidP="00B6678C">
            <w:r>
              <w:t>See Chapter 7 of the explanatory materials for further information.</w:t>
            </w:r>
          </w:p>
        </w:tc>
      </w:tr>
      <w:tr w:rsidR="000D70FA" w14:paraId="5C3B6F33" w14:textId="77777777" w:rsidTr="00BD6543">
        <w:trPr>
          <w:trHeight w:val="564"/>
        </w:trPr>
        <w:tc>
          <w:tcPr>
            <w:tcW w:w="3510" w:type="dxa"/>
          </w:tcPr>
          <w:p w14:paraId="0BEF2797" w14:textId="27B6CE80" w:rsidR="000D70FA" w:rsidRDefault="000D70FA" w:rsidP="000D70FA">
            <w:pPr>
              <w:pStyle w:val="Tabletextindent"/>
            </w:pPr>
            <w:r>
              <w:t xml:space="preserve">Meaning of ‘financial service’ and ‘custodial or depository service’ </w:t>
            </w:r>
          </w:p>
        </w:tc>
        <w:tc>
          <w:tcPr>
            <w:tcW w:w="1134" w:type="dxa"/>
          </w:tcPr>
          <w:p w14:paraId="70CE7763" w14:textId="11453960" w:rsidR="000D70FA" w:rsidRDefault="000D70FA" w:rsidP="00B6678C">
            <w:r>
              <w:t>Schedule 7, items 5 and 7</w:t>
            </w:r>
          </w:p>
        </w:tc>
        <w:tc>
          <w:tcPr>
            <w:tcW w:w="5106" w:type="dxa"/>
            <w:vMerge/>
          </w:tcPr>
          <w:p w14:paraId="3BC6FF43" w14:textId="569A83F3" w:rsidR="000D70FA" w:rsidRDefault="000D70FA" w:rsidP="00B6678C"/>
        </w:tc>
      </w:tr>
      <w:tr w:rsidR="000D70FA" w14:paraId="2741CE29" w14:textId="77777777" w:rsidTr="00BD6543">
        <w:trPr>
          <w:trHeight w:val="479"/>
        </w:trPr>
        <w:tc>
          <w:tcPr>
            <w:tcW w:w="3510" w:type="dxa"/>
          </w:tcPr>
          <w:p w14:paraId="17BABA84" w14:textId="7787012E" w:rsidR="000D70FA" w:rsidRDefault="000D70FA" w:rsidP="00592307">
            <w:pPr>
              <w:pStyle w:val="Tabletextindent"/>
            </w:pPr>
            <w:r>
              <w:t xml:space="preserve">Attribution of conduct to a CCIV </w:t>
            </w:r>
          </w:p>
        </w:tc>
        <w:tc>
          <w:tcPr>
            <w:tcW w:w="1134" w:type="dxa"/>
          </w:tcPr>
          <w:p w14:paraId="71922627" w14:textId="6164EA8D" w:rsidR="000D70FA" w:rsidRDefault="000D70FA" w:rsidP="00B6678C">
            <w:r>
              <w:t>Schedule 7, items 8 and 9</w:t>
            </w:r>
          </w:p>
        </w:tc>
        <w:tc>
          <w:tcPr>
            <w:tcW w:w="5106" w:type="dxa"/>
            <w:vMerge/>
          </w:tcPr>
          <w:p w14:paraId="0ECE9BF5" w14:textId="01D31120" w:rsidR="000D70FA" w:rsidRDefault="000D70FA" w:rsidP="00B6678C"/>
        </w:tc>
      </w:tr>
      <w:tr w:rsidR="000D70FA" w14:paraId="7FD860F2" w14:textId="77777777" w:rsidTr="00BD6543">
        <w:trPr>
          <w:trHeight w:val="521"/>
        </w:trPr>
        <w:tc>
          <w:tcPr>
            <w:tcW w:w="3510" w:type="dxa"/>
          </w:tcPr>
          <w:p w14:paraId="7B383FE2" w14:textId="11897547" w:rsidR="000D70FA" w:rsidRDefault="000D70FA" w:rsidP="00592307">
            <w:pPr>
              <w:pStyle w:val="Tabletextindent"/>
            </w:pPr>
            <w:r>
              <w:t xml:space="preserve">Defence for a contravention by a CCIV </w:t>
            </w:r>
          </w:p>
        </w:tc>
        <w:tc>
          <w:tcPr>
            <w:tcW w:w="1134" w:type="dxa"/>
          </w:tcPr>
          <w:p w14:paraId="37F7C846" w14:textId="0DD3CDC3" w:rsidR="000D70FA" w:rsidRDefault="000D70FA" w:rsidP="00B6678C">
            <w:r>
              <w:t>Schedule 7, items 10 and 11</w:t>
            </w:r>
          </w:p>
        </w:tc>
        <w:tc>
          <w:tcPr>
            <w:tcW w:w="5106" w:type="dxa"/>
            <w:vMerge/>
          </w:tcPr>
          <w:p w14:paraId="37CAF2FB" w14:textId="2068599C" w:rsidR="000D70FA" w:rsidRDefault="000D70FA" w:rsidP="00B6678C"/>
        </w:tc>
      </w:tr>
      <w:tr w:rsidR="000D70FA" w14:paraId="0157250F" w14:textId="77777777" w:rsidTr="00BD6543">
        <w:trPr>
          <w:trHeight w:val="420"/>
        </w:trPr>
        <w:tc>
          <w:tcPr>
            <w:tcW w:w="3510" w:type="dxa"/>
          </w:tcPr>
          <w:p w14:paraId="3273790C" w14:textId="66455B7E" w:rsidR="000D70FA" w:rsidRDefault="000D70FA" w:rsidP="00592307">
            <w:pPr>
              <w:pStyle w:val="Tabletextindent"/>
            </w:pPr>
            <w:r>
              <w:t xml:space="preserve">Representation of a CCIV </w:t>
            </w:r>
          </w:p>
        </w:tc>
        <w:tc>
          <w:tcPr>
            <w:tcW w:w="1134" w:type="dxa"/>
          </w:tcPr>
          <w:p w14:paraId="12F792E2" w14:textId="785B6BD9" w:rsidR="000D70FA" w:rsidRDefault="000D70FA" w:rsidP="00B6678C">
            <w:r>
              <w:t>Schedule 7, item 12</w:t>
            </w:r>
          </w:p>
        </w:tc>
        <w:tc>
          <w:tcPr>
            <w:tcW w:w="5106" w:type="dxa"/>
            <w:vMerge/>
          </w:tcPr>
          <w:p w14:paraId="3ECAB38E" w14:textId="0D79BDC1" w:rsidR="000D70FA" w:rsidRDefault="000D70FA" w:rsidP="00B6678C"/>
        </w:tc>
      </w:tr>
      <w:tr w:rsidR="000D70FA" w14:paraId="6BBB7BE5" w14:textId="77777777" w:rsidTr="00BD6543">
        <w:trPr>
          <w:trHeight w:val="600"/>
        </w:trPr>
        <w:tc>
          <w:tcPr>
            <w:tcW w:w="3510" w:type="dxa"/>
          </w:tcPr>
          <w:p w14:paraId="126D4B01" w14:textId="665831BF" w:rsidR="000D70FA" w:rsidRDefault="000D70FA" w:rsidP="00592307">
            <w:pPr>
              <w:pStyle w:val="Tabletextindent"/>
            </w:pPr>
            <w:r>
              <w:t>ASIC</w:t>
            </w:r>
            <w:r w:rsidR="005567A0">
              <w:t>'s powers in relation to persons connected to a CCIV</w:t>
            </w:r>
          </w:p>
        </w:tc>
        <w:tc>
          <w:tcPr>
            <w:tcW w:w="1134" w:type="dxa"/>
          </w:tcPr>
          <w:p w14:paraId="05E313E6" w14:textId="0AA3841A" w:rsidR="000D70FA" w:rsidRDefault="000D70FA" w:rsidP="00B6678C">
            <w:r>
              <w:t>Schedule 7, item 13</w:t>
            </w:r>
          </w:p>
        </w:tc>
        <w:tc>
          <w:tcPr>
            <w:tcW w:w="5106" w:type="dxa"/>
            <w:vMerge/>
          </w:tcPr>
          <w:p w14:paraId="737F0A4F" w14:textId="3D963D2F" w:rsidR="000D70FA" w:rsidRDefault="000D70FA" w:rsidP="00B6678C"/>
        </w:tc>
      </w:tr>
      <w:tr w:rsidR="000D70FA" w14:paraId="52AC550B" w14:textId="77777777" w:rsidTr="00BD6543">
        <w:trPr>
          <w:trHeight w:val="639"/>
        </w:trPr>
        <w:tc>
          <w:tcPr>
            <w:tcW w:w="3510" w:type="dxa"/>
          </w:tcPr>
          <w:p w14:paraId="71A5A741" w14:textId="630324B1" w:rsidR="000D70FA" w:rsidRDefault="000D70FA" w:rsidP="00592307">
            <w:pPr>
              <w:pStyle w:val="Tabletextindent"/>
            </w:pPr>
            <w:r>
              <w:t>Enforceable undertaking by the corporate director of a CCIV</w:t>
            </w:r>
          </w:p>
        </w:tc>
        <w:tc>
          <w:tcPr>
            <w:tcW w:w="1134" w:type="dxa"/>
          </w:tcPr>
          <w:p w14:paraId="7B0E6969" w14:textId="7CC551FE" w:rsidR="000D70FA" w:rsidRDefault="000D70FA" w:rsidP="00B6678C">
            <w:r>
              <w:t>Schedule 7, item</w:t>
            </w:r>
            <w:r w:rsidR="00950228">
              <w:t>s 14 and</w:t>
            </w:r>
            <w:r>
              <w:t xml:space="preserve"> 15</w:t>
            </w:r>
          </w:p>
        </w:tc>
        <w:tc>
          <w:tcPr>
            <w:tcW w:w="5106" w:type="dxa"/>
            <w:vMerge/>
          </w:tcPr>
          <w:p w14:paraId="72EEEAA3" w14:textId="32DB44A1" w:rsidR="000D70FA" w:rsidRDefault="000D70FA" w:rsidP="00B6678C"/>
        </w:tc>
      </w:tr>
      <w:tr w:rsidR="000D70FA" w14:paraId="0BFE3D2A" w14:textId="77777777" w:rsidTr="00C65B91">
        <w:trPr>
          <w:trHeight w:val="1066"/>
        </w:trPr>
        <w:tc>
          <w:tcPr>
            <w:tcW w:w="3510" w:type="dxa"/>
          </w:tcPr>
          <w:p w14:paraId="3531D0BD" w14:textId="7D25D6D0" w:rsidR="000D70FA" w:rsidRDefault="000D70FA" w:rsidP="00592307">
            <w:pPr>
              <w:pStyle w:val="Tabletextindent"/>
            </w:pPr>
            <w:r>
              <w:t>Corporate director of a CCIV is treated as providing most financial services of the CCIV</w:t>
            </w:r>
          </w:p>
        </w:tc>
        <w:tc>
          <w:tcPr>
            <w:tcW w:w="1134" w:type="dxa"/>
          </w:tcPr>
          <w:p w14:paraId="5321A558" w14:textId="2A363898" w:rsidR="000D70FA" w:rsidRDefault="000D70FA" w:rsidP="00B6678C">
            <w:r>
              <w:t>Schedule 7, items 4 and 16</w:t>
            </w:r>
          </w:p>
        </w:tc>
        <w:tc>
          <w:tcPr>
            <w:tcW w:w="5106" w:type="dxa"/>
            <w:vMerge/>
          </w:tcPr>
          <w:p w14:paraId="4CD11422" w14:textId="7FDD9D37" w:rsidR="000D70FA" w:rsidRDefault="000D70FA" w:rsidP="00B6678C"/>
        </w:tc>
      </w:tr>
      <w:tr w:rsidR="00BB1387" w14:paraId="65750260" w14:textId="77777777" w:rsidTr="00BD6543">
        <w:trPr>
          <w:trHeight w:val="398"/>
        </w:trPr>
        <w:tc>
          <w:tcPr>
            <w:tcW w:w="9750" w:type="dxa"/>
            <w:gridSpan w:val="3"/>
          </w:tcPr>
          <w:p w14:paraId="6705D2CD" w14:textId="1D0D46FC" w:rsidR="00BB1387" w:rsidRPr="00BB1387" w:rsidRDefault="00BB1387" w:rsidP="00BB1387">
            <w:pPr>
              <w:pStyle w:val="Tabletextindent"/>
              <w:ind w:left="0"/>
              <w:rPr>
                <w:b/>
              </w:rPr>
            </w:pPr>
            <w:r w:rsidRPr="00076A72">
              <w:rPr>
                <w:b/>
              </w:rPr>
              <w:t>Other miscellaneous amendments</w:t>
            </w:r>
          </w:p>
        </w:tc>
      </w:tr>
      <w:tr w:rsidR="000D70FA" w14:paraId="4D3AE07C" w14:textId="77777777" w:rsidTr="00C65B91">
        <w:trPr>
          <w:trHeight w:val="585"/>
        </w:trPr>
        <w:tc>
          <w:tcPr>
            <w:tcW w:w="3510" w:type="dxa"/>
          </w:tcPr>
          <w:p w14:paraId="79FDBA64" w14:textId="45C6F40A" w:rsidR="000D70FA" w:rsidRDefault="000D70FA" w:rsidP="00592307">
            <w:pPr>
              <w:pStyle w:val="Tabletextindent"/>
            </w:pPr>
            <w:r>
              <w:t>Availability of reports about breaches by depositary</w:t>
            </w:r>
          </w:p>
        </w:tc>
        <w:tc>
          <w:tcPr>
            <w:tcW w:w="1134" w:type="dxa"/>
          </w:tcPr>
          <w:p w14:paraId="15E47ECC" w14:textId="02DBB594" w:rsidR="000D70FA" w:rsidRDefault="000D70FA" w:rsidP="00B6678C">
            <w:r>
              <w:t>20-000</w:t>
            </w:r>
          </w:p>
        </w:tc>
        <w:tc>
          <w:tcPr>
            <w:tcW w:w="5106" w:type="dxa"/>
            <w:vMerge w:val="restart"/>
          </w:tcPr>
          <w:p w14:paraId="5AFA10B7" w14:textId="75BE47E0" w:rsidR="000D70FA" w:rsidRDefault="000D70FA" w:rsidP="000D70FA">
            <w:pPr>
              <w:pStyle w:val="Tabletext"/>
              <w:keepNext/>
              <w:keepLines/>
            </w:pPr>
            <w:r w:rsidRPr="00CA7069">
              <w:t xml:space="preserve">It is an offence for any </w:t>
            </w:r>
            <w:r>
              <w:t xml:space="preserve">current or former officer or employee of the corporate director, or current or former member or officer of the CCIV </w:t>
            </w:r>
            <w:r w:rsidRPr="00CA7069">
              <w:t>to falsify or destroy securities of a CCIV, or the books of the CCIV</w:t>
            </w:r>
            <w:r>
              <w:t>.</w:t>
            </w:r>
          </w:p>
          <w:p w14:paraId="466024B5" w14:textId="77777777" w:rsidR="000D70FA" w:rsidRDefault="000D70FA" w:rsidP="000D70FA">
            <w:pPr>
              <w:pStyle w:val="Tabletext"/>
              <w:keepNext/>
              <w:keepLines/>
            </w:pPr>
            <w:r w:rsidRPr="00CA7069">
              <w:t>A CCIV may not rely on information provided to it by an officer or agent of the CCIV, or an officer, employee, or agent of the corporate director as a defence to an offence relating to false or misleading statements made by the CCIV.</w:t>
            </w:r>
          </w:p>
          <w:p w14:paraId="716D00A1" w14:textId="77777777" w:rsidR="000D70FA" w:rsidRDefault="000D70FA" w:rsidP="000D70FA">
            <w:pPr>
              <w:pStyle w:val="Tabletext"/>
              <w:keepNext/>
              <w:keepLines/>
            </w:pPr>
            <w:r w:rsidRPr="00CA7069">
              <w:t>If a CCIV is a defendant in a prosecution, or upcoming prosecution, ASIC may compel assistance from a current or former officer or agent of the CCIV, or a current or former officer, employee or agent of the corporate director.</w:t>
            </w:r>
          </w:p>
          <w:p w14:paraId="27C92655" w14:textId="7DBE0843" w:rsidR="000D70FA" w:rsidRDefault="000D70FA" w:rsidP="000D70FA">
            <w:r w:rsidRPr="00CA7069">
              <w:t>A court has the same powers in relation to an irregularity or defect in a meeting of a sub</w:t>
            </w:r>
            <w:r w:rsidRPr="00CA7069">
              <w:noBreakHyphen/>
              <w:t>fund or a joint meeting of creditors and members of a sub</w:t>
            </w:r>
            <w:r w:rsidRPr="00CA7069">
              <w:noBreakHyphen/>
              <w:t>fund of a CCIV as it has in relation to an irregularity or defect in a meeting of members or members and creditors of a corporation.</w:t>
            </w:r>
          </w:p>
          <w:p w14:paraId="79E1244F" w14:textId="3B7655D1" w:rsidR="000D70FA" w:rsidRDefault="000D70FA" w:rsidP="00B6678C">
            <w:r>
              <w:t>See Chapter 7 of the explanatory materials for further information.</w:t>
            </w:r>
          </w:p>
        </w:tc>
      </w:tr>
      <w:tr w:rsidR="000D70FA" w14:paraId="1B312964" w14:textId="77777777" w:rsidTr="00C65B91">
        <w:trPr>
          <w:trHeight w:val="623"/>
        </w:trPr>
        <w:tc>
          <w:tcPr>
            <w:tcW w:w="3510" w:type="dxa"/>
          </w:tcPr>
          <w:p w14:paraId="5F2E5355" w14:textId="13338B5E" w:rsidR="000D70FA" w:rsidRDefault="000D70FA" w:rsidP="00592307">
            <w:pPr>
              <w:pStyle w:val="Tabletextindent"/>
            </w:pPr>
            <w:r>
              <w:t>CCIV’s books available for inspection</w:t>
            </w:r>
          </w:p>
        </w:tc>
        <w:tc>
          <w:tcPr>
            <w:tcW w:w="1134" w:type="dxa"/>
          </w:tcPr>
          <w:p w14:paraId="0F3FD70C" w14:textId="02BFCD4C" w:rsidR="000D70FA" w:rsidRDefault="000D70FA" w:rsidP="00B6678C">
            <w:r>
              <w:t>20-005</w:t>
            </w:r>
          </w:p>
        </w:tc>
        <w:tc>
          <w:tcPr>
            <w:tcW w:w="5106" w:type="dxa"/>
            <w:vMerge/>
          </w:tcPr>
          <w:p w14:paraId="1F29A1CE" w14:textId="2593E7D6" w:rsidR="000D70FA" w:rsidRDefault="000D70FA" w:rsidP="00B6678C"/>
        </w:tc>
      </w:tr>
      <w:tr w:rsidR="000D70FA" w14:paraId="4964442E" w14:textId="77777777" w:rsidTr="00C65B91">
        <w:trPr>
          <w:trHeight w:val="660"/>
        </w:trPr>
        <w:tc>
          <w:tcPr>
            <w:tcW w:w="3510" w:type="dxa"/>
          </w:tcPr>
          <w:p w14:paraId="34D3BCCF" w14:textId="20EB6CF6" w:rsidR="000D70FA" w:rsidRDefault="000D70FA" w:rsidP="00592307">
            <w:pPr>
              <w:pStyle w:val="Tabletextindent"/>
            </w:pPr>
            <w:r>
              <w:t>Offence to falsify or destroy securities or books of a CCIV</w:t>
            </w:r>
          </w:p>
        </w:tc>
        <w:tc>
          <w:tcPr>
            <w:tcW w:w="1134" w:type="dxa"/>
          </w:tcPr>
          <w:p w14:paraId="39FF3036" w14:textId="730EFC21" w:rsidR="000D70FA" w:rsidRDefault="000D70FA" w:rsidP="00B6678C">
            <w:r>
              <w:t>20-010</w:t>
            </w:r>
          </w:p>
        </w:tc>
        <w:tc>
          <w:tcPr>
            <w:tcW w:w="5106" w:type="dxa"/>
            <w:vMerge/>
          </w:tcPr>
          <w:p w14:paraId="0DE94762" w14:textId="6D41AD4E" w:rsidR="000D70FA" w:rsidRDefault="000D70FA" w:rsidP="00B6678C"/>
        </w:tc>
      </w:tr>
      <w:tr w:rsidR="000D70FA" w14:paraId="4F8C348F" w14:textId="77777777" w:rsidTr="00C65B91">
        <w:trPr>
          <w:trHeight w:val="698"/>
        </w:trPr>
        <w:tc>
          <w:tcPr>
            <w:tcW w:w="3510" w:type="dxa"/>
          </w:tcPr>
          <w:p w14:paraId="715935C3" w14:textId="67BDAFD2" w:rsidR="000D70FA" w:rsidRDefault="000D70FA" w:rsidP="00592307">
            <w:pPr>
              <w:pStyle w:val="Tabletextindent"/>
            </w:pPr>
            <w:r>
              <w:t>False or misleading statements by a CCIV</w:t>
            </w:r>
          </w:p>
        </w:tc>
        <w:tc>
          <w:tcPr>
            <w:tcW w:w="1134" w:type="dxa"/>
          </w:tcPr>
          <w:p w14:paraId="0670655E" w14:textId="24B8FC8F" w:rsidR="000D70FA" w:rsidRDefault="000D70FA" w:rsidP="00B6678C">
            <w:r>
              <w:t>20-015</w:t>
            </w:r>
          </w:p>
        </w:tc>
        <w:tc>
          <w:tcPr>
            <w:tcW w:w="5106" w:type="dxa"/>
            <w:vMerge/>
          </w:tcPr>
          <w:p w14:paraId="20ED6D70" w14:textId="72C1BF49" w:rsidR="000D70FA" w:rsidRDefault="000D70FA" w:rsidP="00B6678C"/>
        </w:tc>
      </w:tr>
      <w:tr w:rsidR="000D70FA" w14:paraId="76B5FF79" w14:textId="77777777" w:rsidTr="00C65B91">
        <w:trPr>
          <w:trHeight w:val="383"/>
        </w:trPr>
        <w:tc>
          <w:tcPr>
            <w:tcW w:w="3510" w:type="dxa"/>
          </w:tcPr>
          <w:p w14:paraId="2B7BBA24" w14:textId="11A5E7C4" w:rsidR="000D70FA" w:rsidRDefault="000D70FA" w:rsidP="00592307">
            <w:pPr>
              <w:pStyle w:val="Tabletextindent"/>
            </w:pPr>
            <w:r>
              <w:t xml:space="preserve">ASIC may compel assistance </w:t>
            </w:r>
          </w:p>
        </w:tc>
        <w:tc>
          <w:tcPr>
            <w:tcW w:w="1134" w:type="dxa"/>
          </w:tcPr>
          <w:p w14:paraId="44A0C694" w14:textId="4B51869C" w:rsidR="000D70FA" w:rsidRDefault="000D70FA" w:rsidP="00B6678C">
            <w:r>
              <w:t>20-015</w:t>
            </w:r>
          </w:p>
        </w:tc>
        <w:tc>
          <w:tcPr>
            <w:tcW w:w="5106" w:type="dxa"/>
            <w:vMerge/>
          </w:tcPr>
          <w:p w14:paraId="66EEEAE3" w14:textId="10195657" w:rsidR="000D70FA" w:rsidRDefault="000D70FA" w:rsidP="00B6678C"/>
        </w:tc>
      </w:tr>
      <w:tr w:rsidR="000D70FA" w14:paraId="23217089" w14:textId="77777777" w:rsidTr="00BD6543">
        <w:trPr>
          <w:trHeight w:val="635"/>
        </w:trPr>
        <w:tc>
          <w:tcPr>
            <w:tcW w:w="3510" w:type="dxa"/>
          </w:tcPr>
          <w:p w14:paraId="3C13901E" w14:textId="4C3C95F4" w:rsidR="000D70FA" w:rsidRDefault="000D70FA" w:rsidP="00592307">
            <w:pPr>
              <w:pStyle w:val="Tabletextindent"/>
            </w:pPr>
            <w:r>
              <w:t>No AAT merits review for change of CCIV rules</w:t>
            </w:r>
          </w:p>
        </w:tc>
        <w:tc>
          <w:tcPr>
            <w:tcW w:w="1134" w:type="dxa"/>
          </w:tcPr>
          <w:p w14:paraId="558CA5D0" w14:textId="0FC679D5" w:rsidR="000D70FA" w:rsidRDefault="000D70FA" w:rsidP="00B6678C">
            <w:r>
              <w:t>20-020</w:t>
            </w:r>
          </w:p>
        </w:tc>
        <w:tc>
          <w:tcPr>
            <w:tcW w:w="5106" w:type="dxa"/>
            <w:vMerge/>
          </w:tcPr>
          <w:p w14:paraId="0FC21161" w14:textId="2A98B2AB" w:rsidR="000D70FA" w:rsidRDefault="000D70FA" w:rsidP="00B6678C"/>
        </w:tc>
      </w:tr>
      <w:tr w:rsidR="000D70FA" w14:paraId="613CE26F" w14:textId="77777777" w:rsidTr="00C65B91">
        <w:trPr>
          <w:trHeight w:val="1066"/>
        </w:trPr>
        <w:tc>
          <w:tcPr>
            <w:tcW w:w="3510" w:type="dxa"/>
          </w:tcPr>
          <w:p w14:paraId="406E702D" w14:textId="6A927604" w:rsidR="000D70FA" w:rsidRDefault="000D70FA" w:rsidP="00592307">
            <w:pPr>
              <w:pStyle w:val="Tabletextindent"/>
            </w:pPr>
            <w:r>
              <w:t xml:space="preserve">Court’s powers in relation to meeting of members and creditors </w:t>
            </w:r>
          </w:p>
        </w:tc>
        <w:tc>
          <w:tcPr>
            <w:tcW w:w="1134" w:type="dxa"/>
          </w:tcPr>
          <w:p w14:paraId="67D242CA" w14:textId="15BC0EDA" w:rsidR="000D70FA" w:rsidRDefault="000D70FA" w:rsidP="00B6678C">
            <w:r>
              <w:t>20-025</w:t>
            </w:r>
          </w:p>
        </w:tc>
        <w:tc>
          <w:tcPr>
            <w:tcW w:w="5106" w:type="dxa"/>
            <w:vMerge/>
          </w:tcPr>
          <w:p w14:paraId="0859346D" w14:textId="3B8A0471" w:rsidR="000D70FA" w:rsidRDefault="000D70FA" w:rsidP="00B6678C"/>
        </w:tc>
      </w:tr>
    </w:tbl>
    <w:p w14:paraId="36BCB2E6" w14:textId="6104D925" w:rsidR="005E4C5E" w:rsidRDefault="005E4C5E" w:rsidP="00B20AFD"/>
    <w:sectPr w:rsidR="005E4C5E" w:rsidSect="0024692E">
      <w:headerReference w:type="default" r:id="rId14"/>
      <w:footerReference w:type="default" r:id="rId15"/>
      <w:headerReference w:type="first" r:id="rId16"/>
      <w:footerReference w:type="first" r:id="rId17"/>
      <w:pgSz w:w="11906" w:h="16838"/>
      <w:pgMar w:top="2552"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59E443" w14:textId="77777777" w:rsidR="005D3E77" w:rsidRDefault="005D3E77" w:rsidP="00D75494">
      <w:r>
        <w:separator/>
      </w:r>
    </w:p>
  </w:endnote>
  <w:endnote w:type="continuationSeparator" w:id="0">
    <w:p w14:paraId="3646E152" w14:textId="77777777" w:rsidR="005D3E77" w:rsidRDefault="005D3E77" w:rsidP="00D75494">
      <w:r>
        <w:continuationSeparator/>
      </w:r>
    </w:p>
  </w:endnote>
  <w:endnote w:type="continuationNotice" w:id="1">
    <w:p w14:paraId="000868FB" w14:textId="77777777" w:rsidR="005D3E77" w:rsidRDefault="005D3E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88060" w14:textId="77777777" w:rsidR="005D3E77" w:rsidRDefault="005D3E77" w:rsidP="005E4C5E">
    <w:pPr>
      <w:pStyle w:val="Footer"/>
    </w:pPr>
    <w:r>
      <w:t xml:space="preserve">Page </w:t>
    </w:r>
    <w:r>
      <w:fldChar w:fldCharType="begin"/>
    </w:r>
    <w:r>
      <w:instrText xml:space="preserve"> PAGE   \* MERGEFORMAT </w:instrText>
    </w:r>
    <w:r>
      <w:fldChar w:fldCharType="separate"/>
    </w:r>
    <w:r w:rsidR="00002AFD">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572C5" w14:textId="77777777" w:rsidR="005D3E77" w:rsidRDefault="005D3E77">
    <w:pPr>
      <w:pStyle w:val="Footer"/>
    </w:pPr>
    <w:r>
      <w:t xml:space="preserve">Page </w:t>
    </w:r>
    <w:r>
      <w:fldChar w:fldCharType="begin"/>
    </w:r>
    <w:r>
      <w:instrText xml:space="preserve"> PAGE   \* MERGEFORMAT </w:instrText>
    </w:r>
    <w:r>
      <w:fldChar w:fldCharType="separate"/>
    </w:r>
    <w:r w:rsidR="00002AF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248EF0" w14:textId="77777777" w:rsidR="005D3E77" w:rsidRDefault="005D3E77" w:rsidP="00D75494">
      <w:r>
        <w:separator/>
      </w:r>
    </w:p>
  </w:footnote>
  <w:footnote w:type="continuationSeparator" w:id="0">
    <w:p w14:paraId="52A50AEA" w14:textId="77777777" w:rsidR="005D3E77" w:rsidRDefault="005D3E77" w:rsidP="00D75494">
      <w:r>
        <w:continuationSeparator/>
      </w:r>
    </w:p>
  </w:footnote>
  <w:footnote w:type="continuationNotice" w:id="1">
    <w:p w14:paraId="4B310807" w14:textId="77777777" w:rsidR="005D3E77" w:rsidRDefault="005D3E7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B4528" w14:textId="604C51F7" w:rsidR="005D3E77" w:rsidRPr="005E4C5E" w:rsidRDefault="005D3E77">
    <w:pPr>
      <w:pStyle w:val="Header"/>
      <w:rPr>
        <w:color w:val="004A80" w:themeColor="background2"/>
        <w:sz w:val="24"/>
      </w:rPr>
    </w:pPr>
    <w:r w:rsidRPr="005E4C5E">
      <w:rPr>
        <w:noProof/>
        <w:color w:val="004A80" w:themeColor="background2"/>
        <w:sz w:val="24"/>
        <w:lang w:eastAsia="en-AU"/>
      </w:rPr>
      <w:drawing>
        <wp:anchor distT="0" distB="0" distL="114300" distR="114300" simplePos="0" relativeHeight="251658241" behindDoc="1" locked="0" layoutInCell="1" allowOverlap="1" wp14:anchorId="725A3791" wp14:editId="0A12B92E">
          <wp:simplePos x="723900" y="447675"/>
          <wp:positionH relativeFrom="page">
            <wp:align>center</wp:align>
          </wp:positionH>
          <wp:positionV relativeFrom="page">
            <wp:align>top</wp:align>
          </wp:positionV>
          <wp:extent cx="7560360" cy="1571040"/>
          <wp:effectExtent l="0" t="0" r="254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w Design Office_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360" cy="1571040"/>
                  </a:xfrm>
                  <a:prstGeom prst="rect">
                    <a:avLst/>
                  </a:prstGeom>
                </pic:spPr>
              </pic:pic>
            </a:graphicData>
          </a:graphic>
          <wp14:sizeRelH relativeFrom="margin">
            <wp14:pctWidth>0</wp14:pctWidth>
          </wp14:sizeRelH>
          <wp14:sizeRelV relativeFrom="margin">
            <wp14:pctHeight>0</wp14:pctHeight>
          </wp14:sizeRelV>
        </wp:anchor>
      </w:drawing>
    </w:r>
    <w:r w:rsidRPr="005E4C5E">
      <w:rPr>
        <w:color w:val="004A80" w:themeColor="background2"/>
        <w:sz w:val="24"/>
      </w:rPr>
      <w:t>THE TREASURY</w:t>
    </w:r>
    <w:r w:rsidRPr="005E4C5E">
      <w:rPr>
        <w:b/>
        <w:color w:val="004A80" w:themeColor="background2"/>
        <w:sz w:val="24"/>
      </w:rPr>
      <w:t xml:space="preserve"> Draft Legislation</w:t>
    </w:r>
    <w:r w:rsidRPr="005E4C5E">
      <w:rPr>
        <w:color w:val="004A80" w:themeColor="background2"/>
        <w:sz w:val="24"/>
      </w:rPr>
      <w:t xml:space="preserve">: </w:t>
    </w:r>
    <w:r>
      <w:rPr>
        <w:color w:val="004A80" w:themeColor="background2"/>
        <w:sz w:val="24"/>
      </w:rPr>
      <w:t>Corporate Collective Investment Vehicles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10DC7" w14:textId="77777777" w:rsidR="005D3E77" w:rsidRPr="000505BE" w:rsidRDefault="005D3E77" w:rsidP="0024692E">
    <w:pPr>
      <w:spacing w:after="0" w:line="480" w:lineRule="exact"/>
      <w:jc w:val="right"/>
      <w:rPr>
        <w:color w:val="004A80" w:themeColor="background2"/>
        <w:sz w:val="40"/>
      </w:rPr>
    </w:pPr>
    <w:r w:rsidRPr="000505BE">
      <w:rPr>
        <w:color w:val="004A80" w:themeColor="background2"/>
        <w:sz w:val="40"/>
      </w:rPr>
      <w:t>THE TREASURY</w:t>
    </w:r>
  </w:p>
  <w:p w14:paraId="6A9A3E9E" w14:textId="77777777" w:rsidR="005D3E77" w:rsidRDefault="005D3E77" w:rsidP="0024692E">
    <w:pPr>
      <w:spacing w:after="240" w:line="480" w:lineRule="exact"/>
      <w:jc w:val="right"/>
    </w:pPr>
    <w:r w:rsidRPr="00FC5CFB">
      <w:rPr>
        <w:b/>
        <w:color w:val="004A80" w:themeColor="background2"/>
        <w:sz w:val="48"/>
      </w:rPr>
      <w:t>Draft Legislation</w:t>
    </w:r>
    <w:r>
      <w:rPr>
        <w:noProof/>
        <w:lang w:eastAsia="en-AU"/>
      </w:rPr>
      <w:drawing>
        <wp:anchor distT="0" distB="0" distL="114300" distR="114300" simplePos="0" relativeHeight="251658240" behindDoc="1" locked="0" layoutInCell="1" allowOverlap="1" wp14:anchorId="0B56C4CC" wp14:editId="1AC88A99">
          <wp:simplePos x="723900" y="447675"/>
          <wp:positionH relativeFrom="page">
            <wp:align>center</wp:align>
          </wp:positionH>
          <wp:positionV relativeFrom="page">
            <wp:align>top</wp:align>
          </wp:positionV>
          <wp:extent cx="7560360" cy="1596240"/>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w Design Office_headercrest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360" cy="15962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32D5"/>
    <w:multiLevelType w:val="multilevel"/>
    <w:tmpl w:val="57085B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1895CB6"/>
    <w:multiLevelType w:val="hybridMultilevel"/>
    <w:tmpl w:val="E3526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E1712E8"/>
    <w:multiLevelType w:val="hybridMultilevel"/>
    <w:tmpl w:val="FEA818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F693800"/>
    <w:multiLevelType w:val="multilevel"/>
    <w:tmpl w:val="61022210"/>
    <w:name w:val="StandardBulletedList"/>
    <w:lvl w:ilvl="0">
      <w:start w:val="1"/>
      <w:numFmt w:val="bullet"/>
      <w:pStyle w:val="Bullet"/>
      <w:lvlText w:val="•"/>
      <w:lvlJc w:val="left"/>
      <w:pPr>
        <w:tabs>
          <w:tab w:val="num" w:pos="520"/>
        </w:tabs>
        <w:ind w:left="520" w:hanging="520"/>
      </w:pPr>
      <w:rPr>
        <w:rFonts w:ascii="Times New Roman" w:hAnsi="Times New Roman" w:cs="Times New Roman"/>
      </w:rPr>
    </w:lvl>
    <w:lvl w:ilvl="1">
      <w:start w:val="1"/>
      <w:numFmt w:val="bullet"/>
      <w:pStyle w:val="Dash"/>
      <w:lvlText w:val="–"/>
      <w:lvlJc w:val="left"/>
      <w:pPr>
        <w:tabs>
          <w:tab w:val="num" w:pos="1040"/>
        </w:tabs>
        <w:ind w:left="1040" w:hanging="520"/>
      </w:pPr>
      <w:rPr>
        <w:rFonts w:ascii="Times New Roman" w:hAnsi="Times New Roman" w:cs="Times New Roman"/>
      </w:rPr>
    </w:lvl>
    <w:lvl w:ilvl="2">
      <w:start w:val="1"/>
      <w:numFmt w:val="bullet"/>
      <w:pStyle w:val="DoubleDo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65856F29"/>
    <w:multiLevelType w:val="multilevel"/>
    <w:tmpl w:val="CCB82AC2"/>
    <w:name w:val="StandardNumberedList"/>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attachedTemplate r:id="rId1"/>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21C"/>
    <w:rsid w:val="00002AFD"/>
    <w:rsid w:val="00010544"/>
    <w:rsid w:val="00010B35"/>
    <w:rsid w:val="000244A2"/>
    <w:rsid w:val="00027553"/>
    <w:rsid w:val="00041410"/>
    <w:rsid w:val="000421F9"/>
    <w:rsid w:val="00044A1F"/>
    <w:rsid w:val="000465A0"/>
    <w:rsid w:val="000505BE"/>
    <w:rsid w:val="00052C7C"/>
    <w:rsid w:val="000751F0"/>
    <w:rsid w:val="00076A72"/>
    <w:rsid w:val="00094E55"/>
    <w:rsid w:val="000A0DA9"/>
    <w:rsid w:val="000B403A"/>
    <w:rsid w:val="000D34F8"/>
    <w:rsid w:val="000D45F3"/>
    <w:rsid w:val="000D70FA"/>
    <w:rsid w:val="000F4FBC"/>
    <w:rsid w:val="001078AA"/>
    <w:rsid w:val="001118A1"/>
    <w:rsid w:val="00113A5C"/>
    <w:rsid w:val="00122C85"/>
    <w:rsid w:val="0012367D"/>
    <w:rsid w:val="00124F2C"/>
    <w:rsid w:val="00125527"/>
    <w:rsid w:val="00126972"/>
    <w:rsid w:val="00132608"/>
    <w:rsid w:val="001367ED"/>
    <w:rsid w:val="0014005E"/>
    <w:rsid w:val="00145146"/>
    <w:rsid w:val="00156D53"/>
    <w:rsid w:val="00157F7A"/>
    <w:rsid w:val="00160D39"/>
    <w:rsid w:val="0016145E"/>
    <w:rsid w:val="001A3BBB"/>
    <w:rsid w:val="001B406B"/>
    <w:rsid w:val="001D48B5"/>
    <w:rsid w:val="001E2A69"/>
    <w:rsid w:val="001E7ED2"/>
    <w:rsid w:val="001F05D4"/>
    <w:rsid w:val="001F1307"/>
    <w:rsid w:val="00220F44"/>
    <w:rsid w:val="002246F2"/>
    <w:rsid w:val="002362D5"/>
    <w:rsid w:val="00236594"/>
    <w:rsid w:val="002467C6"/>
    <w:rsid w:val="0024692E"/>
    <w:rsid w:val="0025104B"/>
    <w:rsid w:val="00257032"/>
    <w:rsid w:val="002654EC"/>
    <w:rsid w:val="00281BC5"/>
    <w:rsid w:val="00291082"/>
    <w:rsid w:val="00295F06"/>
    <w:rsid w:val="002A0DBF"/>
    <w:rsid w:val="002A2E13"/>
    <w:rsid w:val="002A389C"/>
    <w:rsid w:val="002A3BD4"/>
    <w:rsid w:val="002F2835"/>
    <w:rsid w:val="002F33B7"/>
    <w:rsid w:val="00311502"/>
    <w:rsid w:val="00312532"/>
    <w:rsid w:val="00312928"/>
    <w:rsid w:val="00313C66"/>
    <w:rsid w:val="00322B48"/>
    <w:rsid w:val="00332636"/>
    <w:rsid w:val="00333C08"/>
    <w:rsid w:val="003531D3"/>
    <w:rsid w:val="00356CC7"/>
    <w:rsid w:val="003624A6"/>
    <w:rsid w:val="00374756"/>
    <w:rsid w:val="00387527"/>
    <w:rsid w:val="003B545C"/>
    <w:rsid w:val="003D116E"/>
    <w:rsid w:val="003D6559"/>
    <w:rsid w:val="003E3435"/>
    <w:rsid w:val="003E640D"/>
    <w:rsid w:val="003F367A"/>
    <w:rsid w:val="00401A25"/>
    <w:rsid w:val="00406E74"/>
    <w:rsid w:val="00413351"/>
    <w:rsid w:val="004175A4"/>
    <w:rsid w:val="004354B3"/>
    <w:rsid w:val="004355E9"/>
    <w:rsid w:val="0043564D"/>
    <w:rsid w:val="00443F09"/>
    <w:rsid w:val="0045746B"/>
    <w:rsid w:val="0046767E"/>
    <w:rsid w:val="0047552F"/>
    <w:rsid w:val="004951BF"/>
    <w:rsid w:val="0049536D"/>
    <w:rsid w:val="004A780D"/>
    <w:rsid w:val="004B225C"/>
    <w:rsid w:val="004C2202"/>
    <w:rsid w:val="004C2EBB"/>
    <w:rsid w:val="004F05E5"/>
    <w:rsid w:val="004F7F38"/>
    <w:rsid w:val="00501327"/>
    <w:rsid w:val="00522FAA"/>
    <w:rsid w:val="00526231"/>
    <w:rsid w:val="005567A0"/>
    <w:rsid w:val="005842E5"/>
    <w:rsid w:val="00592307"/>
    <w:rsid w:val="005953E2"/>
    <w:rsid w:val="00596857"/>
    <w:rsid w:val="005A778A"/>
    <w:rsid w:val="005C101D"/>
    <w:rsid w:val="005D137F"/>
    <w:rsid w:val="005D3E77"/>
    <w:rsid w:val="005D5220"/>
    <w:rsid w:val="005E4C5E"/>
    <w:rsid w:val="005F7A5B"/>
    <w:rsid w:val="00601E81"/>
    <w:rsid w:val="006048E8"/>
    <w:rsid w:val="00610E41"/>
    <w:rsid w:val="00611C58"/>
    <w:rsid w:val="00617CF3"/>
    <w:rsid w:val="00646FED"/>
    <w:rsid w:val="0065015D"/>
    <w:rsid w:val="00654E51"/>
    <w:rsid w:val="00697A99"/>
    <w:rsid w:val="006B3182"/>
    <w:rsid w:val="006C5237"/>
    <w:rsid w:val="006C7852"/>
    <w:rsid w:val="006E19E6"/>
    <w:rsid w:val="006E3C58"/>
    <w:rsid w:val="006E4061"/>
    <w:rsid w:val="006E44EB"/>
    <w:rsid w:val="006F40B5"/>
    <w:rsid w:val="00732243"/>
    <w:rsid w:val="007343F7"/>
    <w:rsid w:val="00747ADD"/>
    <w:rsid w:val="00754A00"/>
    <w:rsid w:val="00795136"/>
    <w:rsid w:val="007B6ED9"/>
    <w:rsid w:val="007D2A8D"/>
    <w:rsid w:val="007D3584"/>
    <w:rsid w:val="007E764F"/>
    <w:rsid w:val="00802E9E"/>
    <w:rsid w:val="00804D5C"/>
    <w:rsid w:val="00805299"/>
    <w:rsid w:val="008147D5"/>
    <w:rsid w:val="00825212"/>
    <w:rsid w:val="008312D5"/>
    <w:rsid w:val="00864F9D"/>
    <w:rsid w:val="00873893"/>
    <w:rsid w:val="00886726"/>
    <w:rsid w:val="008A6530"/>
    <w:rsid w:val="008B61EF"/>
    <w:rsid w:val="008C1150"/>
    <w:rsid w:val="008C24FF"/>
    <w:rsid w:val="008D193C"/>
    <w:rsid w:val="008E2C04"/>
    <w:rsid w:val="008E3FE1"/>
    <w:rsid w:val="00911C34"/>
    <w:rsid w:val="00930D84"/>
    <w:rsid w:val="00950228"/>
    <w:rsid w:val="0095243F"/>
    <w:rsid w:val="009534DD"/>
    <w:rsid w:val="00962A39"/>
    <w:rsid w:val="00965B58"/>
    <w:rsid w:val="0098185C"/>
    <w:rsid w:val="009A20B2"/>
    <w:rsid w:val="009B2C56"/>
    <w:rsid w:val="009B35D2"/>
    <w:rsid w:val="009C007F"/>
    <w:rsid w:val="009F462F"/>
    <w:rsid w:val="00A00F22"/>
    <w:rsid w:val="00A13446"/>
    <w:rsid w:val="00A2463C"/>
    <w:rsid w:val="00A26D20"/>
    <w:rsid w:val="00A56ADC"/>
    <w:rsid w:val="00A572E3"/>
    <w:rsid w:val="00A64C93"/>
    <w:rsid w:val="00A65052"/>
    <w:rsid w:val="00A73C60"/>
    <w:rsid w:val="00A91023"/>
    <w:rsid w:val="00AA1EA0"/>
    <w:rsid w:val="00AA3D87"/>
    <w:rsid w:val="00AB06A8"/>
    <w:rsid w:val="00AB47B3"/>
    <w:rsid w:val="00AC0316"/>
    <w:rsid w:val="00AC4DC5"/>
    <w:rsid w:val="00AC5D30"/>
    <w:rsid w:val="00AE1773"/>
    <w:rsid w:val="00AF197D"/>
    <w:rsid w:val="00AF362A"/>
    <w:rsid w:val="00AF6299"/>
    <w:rsid w:val="00B206AC"/>
    <w:rsid w:val="00B20AFD"/>
    <w:rsid w:val="00B25FB3"/>
    <w:rsid w:val="00B26C9B"/>
    <w:rsid w:val="00B46F86"/>
    <w:rsid w:val="00B567F7"/>
    <w:rsid w:val="00B6678C"/>
    <w:rsid w:val="00B859E4"/>
    <w:rsid w:val="00B92398"/>
    <w:rsid w:val="00BA53BD"/>
    <w:rsid w:val="00BB1387"/>
    <w:rsid w:val="00BB18C3"/>
    <w:rsid w:val="00BC28E6"/>
    <w:rsid w:val="00BC3E7E"/>
    <w:rsid w:val="00BD6543"/>
    <w:rsid w:val="00BD6D2C"/>
    <w:rsid w:val="00BF084D"/>
    <w:rsid w:val="00BF6445"/>
    <w:rsid w:val="00C02FD6"/>
    <w:rsid w:val="00C0698B"/>
    <w:rsid w:val="00C16C07"/>
    <w:rsid w:val="00C2708E"/>
    <w:rsid w:val="00C27710"/>
    <w:rsid w:val="00C45732"/>
    <w:rsid w:val="00C5306A"/>
    <w:rsid w:val="00C565FC"/>
    <w:rsid w:val="00C659CE"/>
    <w:rsid w:val="00C65B91"/>
    <w:rsid w:val="00C70CED"/>
    <w:rsid w:val="00C749F8"/>
    <w:rsid w:val="00C831C8"/>
    <w:rsid w:val="00C85EDF"/>
    <w:rsid w:val="00CB1246"/>
    <w:rsid w:val="00D00890"/>
    <w:rsid w:val="00D2150F"/>
    <w:rsid w:val="00D37A1C"/>
    <w:rsid w:val="00D4189B"/>
    <w:rsid w:val="00D461D3"/>
    <w:rsid w:val="00D54CCB"/>
    <w:rsid w:val="00D7524D"/>
    <w:rsid w:val="00D75494"/>
    <w:rsid w:val="00DD1C72"/>
    <w:rsid w:val="00DD31DC"/>
    <w:rsid w:val="00DE56AF"/>
    <w:rsid w:val="00DE5AC6"/>
    <w:rsid w:val="00DF0285"/>
    <w:rsid w:val="00E06B2B"/>
    <w:rsid w:val="00E17506"/>
    <w:rsid w:val="00E2621C"/>
    <w:rsid w:val="00E37BA9"/>
    <w:rsid w:val="00E461E0"/>
    <w:rsid w:val="00E534E5"/>
    <w:rsid w:val="00E53C39"/>
    <w:rsid w:val="00E55E74"/>
    <w:rsid w:val="00E66B50"/>
    <w:rsid w:val="00E816FE"/>
    <w:rsid w:val="00E93310"/>
    <w:rsid w:val="00EC0336"/>
    <w:rsid w:val="00EC1959"/>
    <w:rsid w:val="00EE6030"/>
    <w:rsid w:val="00F453B6"/>
    <w:rsid w:val="00F51821"/>
    <w:rsid w:val="00F56A0C"/>
    <w:rsid w:val="00F611B9"/>
    <w:rsid w:val="00F75A24"/>
    <w:rsid w:val="00F84596"/>
    <w:rsid w:val="00F857FD"/>
    <w:rsid w:val="00FA6165"/>
    <w:rsid w:val="00FA68EE"/>
    <w:rsid w:val="00FB13F2"/>
    <w:rsid w:val="00FC5CFB"/>
    <w:rsid w:val="00FD06B5"/>
    <w:rsid w:val="00FD0BB3"/>
    <w:rsid w:val="00FD2C9E"/>
    <w:rsid w:val="00FD72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C59A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CFB"/>
    <w:pPr>
      <w:spacing w:after="120"/>
    </w:pPr>
    <w:rPr>
      <w:sz w:val="22"/>
    </w:rPr>
  </w:style>
  <w:style w:type="paragraph" w:styleId="Heading1">
    <w:name w:val="heading 1"/>
    <w:basedOn w:val="Normal"/>
    <w:next w:val="Normal"/>
    <w:link w:val="Heading1Char"/>
    <w:uiPriority w:val="9"/>
    <w:qFormat/>
    <w:rsid w:val="00D75494"/>
    <w:pPr>
      <w:keepNext/>
      <w:keepLines/>
      <w:spacing w:before="480" w:after="480"/>
      <w:outlineLvl w:val="0"/>
    </w:pPr>
    <w:rPr>
      <w:rFonts w:asciiTheme="majorHAnsi" w:eastAsiaTheme="majorEastAsia" w:hAnsiTheme="majorHAnsi" w:cstheme="majorBidi"/>
      <w:b/>
      <w:bCs/>
      <w:color w:val="16325C" w:themeColor="text2"/>
      <w:sz w:val="40"/>
      <w:szCs w:val="28"/>
    </w:rPr>
  </w:style>
  <w:style w:type="paragraph" w:styleId="Heading9">
    <w:name w:val="heading 9"/>
    <w:basedOn w:val="Normal"/>
    <w:next w:val="Normal"/>
    <w:link w:val="Heading9Char"/>
    <w:uiPriority w:val="9"/>
    <w:semiHidden/>
    <w:unhideWhenUsed/>
    <w:qFormat/>
    <w:rsid w:val="008E3FE1"/>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5494"/>
    <w:pPr>
      <w:tabs>
        <w:tab w:val="center" w:pos="4513"/>
        <w:tab w:val="right" w:pos="9026"/>
      </w:tabs>
    </w:pPr>
  </w:style>
  <w:style w:type="character" w:customStyle="1" w:styleId="HeaderChar">
    <w:name w:val="Header Char"/>
    <w:basedOn w:val="DefaultParagraphFont"/>
    <w:link w:val="Header"/>
    <w:uiPriority w:val="99"/>
    <w:rsid w:val="00D75494"/>
  </w:style>
  <w:style w:type="paragraph" w:styleId="Footer">
    <w:name w:val="footer"/>
    <w:basedOn w:val="Normal"/>
    <w:link w:val="FooterChar"/>
    <w:uiPriority w:val="99"/>
    <w:unhideWhenUsed/>
    <w:rsid w:val="005E4C5E"/>
    <w:pPr>
      <w:tabs>
        <w:tab w:val="center" w:pos="4513"/>
        <w:tab w:val="right" w:pos="9026"/>
      </w:tabs>
      <w:jc w:val="right"/>
    </w:pPr>
    <w:rPr>
      <w:color w:val="004A80" w:themeColor="background2"/>
    </w:rPr>
  </w:style>
  <w:style w:type="character" w:customStyle="1" w:styleId="FooterChar">
    <w:name w:val="Footer Char"/>
    <w:basedOn w:val="DefaultParagraphFont"/>
    <w:link w:val="Footer"/>
    <w:uiPriority w:val="99"/>
    <w:rsid w:val="005E4C5E"/>
    <w:rPr>
      <w:color w:val="004A80" w:themeColor="background2"/>
      <w:sz w:val="22"/>
    </w:rPr>
  </w:style>
  <w:style w:type="paragraph" w:styleId="BalloonText">
    <w:name w:val="Balloon Text"/>
    <w:basedOn w:val="Normal"/>
    <w:link w:val="BalloonTextChar"/>
    <w:uiPriority w:val="99"/>
    <w:semiHidden/>
    <w:unhideWhenUsed/>
    <w:rsid w:val="00D75494"/>
    <w:rPr>
      <w:rFonts w:ascii="Tahoma" w:hAnsi="Tahoma" w:cs="Tahoma"/>
      <w:sz w:val="16"/>
      <w:szCs w:val="16"/>
    </w:rPr>
  </w:style>
  <w:style w:type="character" w:customStyle="1" w:styleId="BalloonTextChar">
    <w:name w:val="Balloon Text Char"/>
    <w:basedOn w:val="DefaultParagraphFont"/>
    <w:link w:val="BalloonText"/>
    <w:uiPriority w:val="99"/>
    <w:semiHidden/>
    <w:rsid w:val="00D75494"/>
    <w:rPr>
      <w:rFonts w:ascii="Tahoma" w:hAnsi="Tahoma" w:cs="Tahoma"/>
      <w:sz w:val="16"/>
      <w:szCs w:val="16"/>
    </w:rPr>
  </w:style>
  <w:style w:type="character" w:customStyle="1" w:styleId="Heading1Char">
    <w:name w:val="Heading 1 Char"/>
    <w:basedOn w:val="DefaultParagraphFont"/>
    <w:link w:val="Heading1"/>
    <w:uiPriority w:val="9"/>
    <w:rsid w:val="00D75494"/>
    <w:rPr>
      <w:rFonts w:asciiTheme="majorHAnsi" w:eastAsiaTheme="majorEastAsia" w:hAnsiTheme="majorHAnsi" w:cstheme="majorBidi"/>
      <w:b/>
      <w:bCs/>
      <w:color w:val="16325C" w:themeColor="text2"/>
      <w:sz w:val="40"/>
      <w:szCs w:val="28"/>
    </w:rPr>
  </w:style>
  <w:style w:type="table" w:styleId="TableGrid">
    <w:name w:val="Table Grid"/>
    <w:basedOn w:val="TableNormal"/>
    <w:uiPriority w:val="59"/>
    <w:rsid w:val="00D7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bold">
    <w:name w:val="Table text bold"/>
    <w:basedOn w:val="Normal"/>
    <w:qFormat/>
    <w:rsid w:val="00257032"/>
    <w:rPr>
      <w:b/>
    </w:rPr>
  </w:style>
  <w:style w:type="paragraph" w:customStyle="1" w:styleId="Tabletextindent">
    <w:name w:val="Table text indent"/>
    <w:basedOn w:val="Normal"/>
    <w:link w:val="TabletextindentChar"/>
    <w:qFormat/>
    <w:rsid w:val="00B6678C"/>
    <w:pPr>
      <w:ind w:left="284"/>
    </w:pPr>
  </w:style>
  <w:style w:type="paragraph" w:customStyle="1" w:styleId="Tabletext">
    <w:name w:val="Table text"/>
    <w:basedOn w:val="Normal"/>
    <w:link w:val="TabletextChar"/>
    <w:qFormat/>
    <w:rsid w:val="0014005E"/>
  </w:style>
  <w:style w:type="paragraph" w:customStyle="1" w:styleId="Tabletextbolditalic">
    <w:name w:val="Table text bold italic"/>
    <w:basedOn w:val="Tabletextbold"/>
    <w:qFormat/>
    <w:rsid w:val="00B6678C"/>
    <w:rPr>
      <w:i/>
    </w:rPr>
  </w:style>
  <w:style w:type="paragraph" w:customStyle="1" w:styleId="Boldintroductiontext">
    <w:name w:val="Bold introduction text"/>
    <w:basedOn w:val="Normal"/>
    <w:qFormat/>
    <w:rsid w:val="00C831C8"/>
    <w:pPr>
      <w:spacing w:after="240"/>
    </w:pPr>
    <w:rPr>
      <w:b/>
      <w:sz w:val="24"/>
      <w:szCs w:val="24"/>
    </w:rPr>
  </w:style>
  <w:style w:type="paragraph" w:customStyle="1" w:styleId="Bullet">
    <w:name w:val="Bullet"/>
    <w:basedOn w:val="Normal"/>
    <w:link w:val="BulletChar"/>
    <w:rsid w:val="00145146"/>
    <w:pPr>
      <w:numPr>
        <w:numId w:val="1"/>
      </w:numPr>
    </w:pPr>
  </w:style>
  <w:style w:type="character" w:customStyle="1" w:styleId="TabletextindentChar">
    <w:name w:val="Table text indent Char"/>
    <w:basedOn w:val="DefaultParagraphFont"/>
    <w:link w:val="Tabletextindent"/>
    <w:rsid w:val="00145146"/>
    <w:rPr>
      <w:sz w:val="22"/>
    </w:rPr>
  </w:style>
  <w:style w:type="character" w:customStyle="1" w:styleId="BulletChar">
    <w:name w:val="Bullet Char"/>
    <w:basedOn w:val="TabletextindentChar"/>
    <w:link w:val="Bullet"/>
    <w:rsid w:val="00145146"/>
    <w:rPr>
      <w:sz w:val="22"/>
    </w:rPr>
  </w:style>
  <w:style w:type="paragraph" w:customStyle="1" w:styleId="Dash">
    <w:name w:val="Dash"/>
    <w:basedOn w:val="Normal"/>
    <w:link w:val="DashChar"/>
    <w:rsid w:val="00145146"/>
    <w:pPr>
      <w:numPr>
        <w:ilvl w:val="1"/>
        <w:numId w:val="1"/>
      </w:numPr>
    </w:pPr>
  </w:style>
  <w:style w:type="character" w:customStyle="1" w:styleId="DashChar">
    <w:name w:val="Dash Char"/>
    <w:basedOn w:val="TabletextindentChar"/>
    <w:link w:val="Dash"/>
    <w:rsid w:val="00145146"/>
    <w:rPr>
      <w:sz w:val="22"/>
    </w:rPr>
  </w:style>
  <w:style w:type="paragraph" w:customStyle="1" w:styleId="DoubleDot">
    <w:name w:val="Double Dot"/>
    <w:basedOn w:val="Normal"/>
    <w:link w:val="DoubleDotChar"/>
    <w:rsid w:val="00145146"/>
    <w:pPr>
      <w:numPr>
        <w:ilvl w:val="2"/>
        <w:numId w:val="1"/>
      </w:numPr>
    </w:pPr>
  </w:style>
  <w:style w:type="character" w:customStyle="1" w:styleId="DoubleDotChar">
    <w:name w:val="Double Dot Char"/>
    <w:basedOn w:val="TabletextindentChar"/>
    <w:link w:val="DoubleDot"/>
    <w:rsid w:val="00145146"/>
    <w:rPr>
      <w:sz w:val="22"/>
    </w:rPr>
  </w:style>
  <w:style w:type="character" w:customStyle="1" w:styleId="Heading9Char">
    <w:name w:val="Heading 9 Char"/>
    <w:basedOn w:val="DefaultParagraphFont"/>
    <w:link w:val="Heading9"/>
    <w:uiPriority w:val="9"/>
    <w:semiHidden/>
    <w:rsid w:val="008E3FE1"/>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8E3FE1"/>
    <w:rPr>
      <w:sz w:val="22"/>
    </w:rPr>
  </w:style>
  <w:style w:type="character" w:customStyle="1" w:styleId="TabletextChar">
    <w:name w:val="Table text Char"/>
    <w:basedOn w:val="DefaultParagraphFont"/>
    <w:link w:val="Tabletext"/>
    <w:rsid w:val="0014005E"/>
    <w:rPr>
      <w:sz w:val="22"/>
    </w:rPr>
  </w:style>
  <w:style w:type="character" w:styleId="CommentReference">
    <w:name w:val="annotation reference"/>
    <w:basedOn w:val="DefaultParagraphFont"/>
    <w:uiPriority w:val="99"/>
    <w:semiHidden/>
    <w:unhideWhenUsed/>
    <w:rsid w:val="001F1307"/>
    <w:rPr>
      <w:sz w:val="16"/>
      <w:szCs w:val="16"/>
    </w:rPr>
  </w:style>
  <w:style w:type="paragraph" w:styleId="CommentText">
    <w:name w:val="annotation text"/>
    <w:basedOn w:val="Normal"/>
    <w:link w:val="CommentTextChar"/>
    <w:uiPriority w:val="99"/>
    <w:semiHidden/>
    <w:unhideWhenUsed/>
    <w:rsid w:val="001F1307"/>
    <w:rPr>
      <w:sz w:val="20"/>
    </w:rPr>
  </w:style>
  <w:style w:type="character" w:customStyle="1" w:styleId="CommentTextChar">
    <w:name w:val="Comment Text Char"/>
    <w:basedOn w:val="DefaultParagraphFont"/>
    <w:link w:val="CommentText"/>
    <w:uiPriority w:val="99"/>
    <w:semiHidden/>
    <w:rsid w:val="001F1307"/>
  </w:style>
  <w:style w:type="paragraph" w:styleId="CommentSubject">
    <w:name w:val="annotation subject"/>
    <w:basedOn w:val="CommentText"/>
    <w:next w:val="CommentText"/>
    <w:link w:val="CommentSubjectChar"/>
    <w:uiPriority w:val="99"/>
    <w:semiHidden/>
    <w:unhideWhenUsed/>
    <w:rsid w:val="001F1307"/>
    <w:rPr>
      <w:b/>
      <w:bCs/>
    </w:rPr>
  </w:style>
  <w:style w:type="character" w:customStyle="1" w:styleId="CommentSubjectChar">
    <w:name w:val="Comment Subject Char"/>
    <w:basedOn w:val="CommentTextChar"/>
    <w:link w:val="CommentSubject"/>
    <w:uiPriority w:val="99"/>
    <w:semiHidden/>
    <w:rsid w:val="001F1307"/>
    <w:rPr>
      <w:b/>
      <w:bCs/>
    </w:rPr>
  </w:style>
  <w:style w:type="paragraph" w:customStyle="1" w:styleId="tabletext0">
    <w:name w:val="table text"/>
    <w:basedOn w:val="Normal"/>
    <w:link w:val="tabletextChar0"/>
    <w:rsid w:val="00A572E3"/>
    <w:pPr>
      <w:spacing w:before="40" w:after="40"/>
    </w:pPr>
    <w:rPr>
      <w:rFonts w:ascii="Times New Roman" w:eastAsia="Times New Roman" w:hAnsi="Times New Roman"/>
      <w:sz w:val="20"/>
      <w:lang w:eastAsia="en-AU"/>
    </w:rPr>
  </w:style>
  <w:style w:type="character" w:customStyle="1" w:styleId="tabletextChar0">
    <w:name w:val="table text Char"/>
    <w:basedOn w:val="DefaultParagraphFont"/>
    <w:link w:val="tabletext0"/>
    <w:rsid w:val="00A572E3"/>
    <w:rPr>
      <w:rFonts w:ascii="Times New Roman" w:eastAsia="Times New Roman" w:hAnsi="Times New Roman"/>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CFB"/>
    <w:pPr>
      <w:spacing w:after="120"/>
    </w:pPr>
    <w:rPr>
      <w:sz w:val="22"/>
    </w:rPr>
  </w:style>
  <w:style w:type="paragraph" w:styleId="Heading1">
    <w:name w:val="heading 1"/>
    <w:basedOn w:val="Normal"/>
    <w:next w:val="Normal"/>
    <w:link w:val="Heading1Char"/>
    <w:uiPriority w:val="9"/>
    <w:qFormat/>
    <w:rsid w:val="00D75494"/>
    <w:pPr>
      <w:keepNext/>
      <w:keepLines/>
      <w:spacing w:before="480" w:after="480"/>
      <w:outlineLvl w:val="0"/>
    </w:pPr>
    <w:rPr>
      <w:rFonts w:asciiTheme="majorHAnsi" w:eastAsiaTheme="majorEastAsia" w:hAnsiTheme="majorHAnsi" w:cstheme="majorBidi"/>
      <w:b/>
      <w:bCs/>
      <w:color w:val="16325C" w:themeColor="text2"/>
      <w:sz w:val="40"/>
      <w:szCs w:val="28"/>
    </w:rPr>
  </w:style>
  <w:style w:type="paragraph" w:styleId="Heading9">
    <w:name w:val="heading 9"/>
    <w:basedOn w:val="Normal"/>
    <w:next w:val="Normal"/>
    <w:link w:val="Heading9Char"/>
    <w:uiPriority w:val="9"/>
    <w:semiHidden/>
    <w:unhideWhenUsed/>
    <w:qFormat/>
    <w:rsid w:val="008E3FE1"/>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5494"/>
    <w:pPr>
      <w:tabs>
        <w:tab w:val="center" w:pos="4513"/>
        <w:tab w:val="right" w:pos="9026"/>
      </w:tabs>
    </w:pPr>
  </w:style>
  <w:style w:type="character" w:customStyle="1" w:styleId="HeaderChar">
    <w:name w:val="Header Char"/>
    <w:basedOn w:val="DefaultParagraphFont"/>
    <w:link w:val="Header"/>
    <w:uiPriority w:val="99"/>
    <w:rsid w:val="00D75494"/>
  </w:style>
  <w:style w:type="paragraph" w:styleId="Footer">
    <w:name w:val="footer"/>
    <w:basedOn w:val="Normal"/>
    <w:link w:val="FooterChar"/>
    <w:uiPriority w:val="99"/>
    <w:unhideWhenUsed/>
    <w:rsid w:val="005E4C5E"/>
    <w:pPr>
      <w:tabs>
        <w:tab w:val="center" w:pos="4513"/>
        <w:tab w:val="right" w:pos="9026"/>
      </w:tabs>
      <w:jc w:val="right"/>
    </w:pPr>
    <w:rPr>
      <w:color w:val="004A80" w:themeColor="background2"/>
    </w:rPr>
  </w:style>
  <w:style w:type="character" w:customStyle="1" w:styleId="FooterChar">
    <w:name w:val="Footer Char"/>
    <w:basedOn w:val="DefaultParagraphFont"/>
    <w:link w:val="Footer"/>
    <w:uiPriority w:val="99"/>
    <w:rsid w:val="005E4C5E"/>
    <w:rPr>
      <w:color w:val="004A80" w:themeColor="background2"/>
      <w:sz w:val="22"/>
    </w:rPr>
  </w:style>
  <w:style w:type="paragraph" w:styleId="BalloonText">
    <w:name w:val="Balloon Text"/>
    <w:basedOn w:val="Normal"/>
    <w:link w:val="BalloonTextChar"/>
    <w:uiPriority w:val="99"/>
    <w:semiHidden/>
    <w:unhideWhenUsed/>
    <w:rsid w:val="00D75494"/>
    <w:rPr>
      <w:rFonts w:ascii="Tahoma" w:hAnsi="Tahoma" w:cs="Tahoma"/>
      <w:sz w:val="16"/>
      <w:szCs w:val="16"/>
    </w:rPr>
  </w:style>
  <w:style w:type="character" w:customStyle="1" w:styleId="BalloonTextChar">
    <w:name w:val="Balloon Text Char"/>
    <w:basedOn w:val="DefaultParagraphFont"/>
    <w:link w:val="BalloonText"/>
    <w:uiPriority w:val="99"/>
    <w:semiHidden/>
    <w:rsid w:val="00D75494"/>
    <w:rPr>
      <w:rFonts w:ascii="Tahoma" w:hAnsi="Tahoma" w:cs="Tahoma"/>
      <w:sz w:val="16"/>
      <w:szCs w:val="16"/>
    </w:rPr>
  </w:style>
  <w:style w:type="character" w:customStyle="1" w:styleId="Heading1Char">
    <w:name w:val="Heading 1 Char"/>
    <w:basedOn w:val="DefaultParagraphFont"/>
    <w:link w:val="Heading1"/>
    <w:uiPriority w:val="9"/>
    <w:rsid w:val="00D75494"/>
    <w:rPr>
      <w:rFonts w:asciiTheme="majorHAnsi" w:eastAsiaTheme="majorEastAsia" w:hAnsiTheme="majorHAnsi" w:cstheme="majorBidi"/>
      <w:b/>
      <w:bCs/>
      <w:color w:val="16325C" w:themeColor="text2"/>
      <w:sz w:val="40"/>
      <w:szCs w:val="28"/>
    </w:rPr>
  </w:style>
  <w:style w:type="table" w:styleId="TableGrid">
    <w:name w:val="Table Grid"/>
    <w:basedOn w:val="TableNormal"/>
    <w:uiPriority w:val="59"/>
    <w:rsid w:val="00D7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bold">
    <w:name w:val="Table text bold"/>
    <w:basedOn w:val="Normal"/>
    <w:qFormat/>
    <w:rsid w:val="00257032"/>
    <w:rPr>
      <w:b/>
    </w:rPr>
  </w:style>
  <w:style w:type="paragraph" w:customStyle="1" w:styleId="Tabletextindent">
    <w:name w:val="Table text indent"/>
    <w:basedOn w:val="Normal"/>
    <w:link w:val="TabletextindentChar"/>
    <w:qFormat/>
    <w:rsid w:val="00B6678C"/>
    <w:pPr>
      <w:ind w:left="284"/>
    </w:pPr>
  </w:style>
  <w:style w:type="paragraph" w:customStyle="1" w:styleId="Tabletext">
    <w:name w:val="Table text"/>
    <w:basedOn w:val="Normal"/>
    <w:link w:val="TabletextChar"/>
    <w:qFormat/>
    <w:rsid w:val="0014005E"/>
  </w:style>
  <w:style w:type="paragraph" w:customStyle="1" w:styleId="Tabletextbolditalic">
    <w:name w:val="Table text bold italic"/>
    <w:basedOn w:val="Tabletextbold"/>
    <w:qFormat/>
    <w:rsid w:val="00B6678C"/>
    <w:rPr>
      <w:i/>
    </w:rPr>
  </w:style>
  <w:style w:type="paragraph" w:customStyle="1" w:styleId="Boldintroductiontext">
    <w:name w:val="Bold introduction text"/>
    <w:basedOn w:val="Normal"/>
    <w:qFormat/>
    <w:rsid w:val="00C831C8"/>
    <w:pPr>
      <w:spacing w:after="240"/>
    </w:pPr>
    <w:rPr>
      <w:b/>
      <w:sz w:val="24"/>
      <w:szCs w:val="24"/>
    </w:rPr>
  </w:style>
  <w:style w:type="paragraph" w:customStyle="1" w:styleId="Bullet">
    <w:name w:val="Bullet"/>
    <w:basedOn w:val="Normal"/>
    <w:link w:val="BulletChar"/>
    <w:rsid w:val="00145146"/>
    <w:pPr>
      <w:numPr>
        <w:numId w:val="1"/>
      </w:numPr>
    </w:pPr>
  </w:style>
  <w:style w:type="character" w:customStyle="1" w:styleId="TabletextindentChar">
    <w:name w:val="Table text indent Char"/>
    <w:basedOn w:val="DefaultParagraphFont"/>
    <w:link w:val="Tabletextindent"/>
    <w:rsid w:val="00145146"/>
    <w:rPr>
      <w:sz w:val="22"/>
    </w:rPr>
  </w:style>
  <w:style w:type="character" w:customStyle="1" w:styleId="BulletChar">
    <w:name w:val="Bullet Char"/>
    <w:basedOn w:val="TabletextindentChar"/>
    <w:link w:val="Bullet"/>
    <w:rsid w:val="00145146"/>
    <w:rPr>
      <w:sz w:val="22"/>
    </w:rPr>
  </w:style>
  <w:style w:type="paragraph" w:customStyle="1" w:styleId="Dash">
    <w:name w:val="Dash"/>
    <w:basedOn w:val="Normal"/>
    <w:link w:val="DashChar"/>
    <w:rsid w:val="00145146"/>
    <w:pPr>
      <w:numPr>
        <w:ilvl w:val="1"/>
        <w:numId w:val="1"/>
      </w:numPr>
    </w:pPr>
  </w:style>
  <w:style w:type="character" w:customStyle="1" w:styleId="DashChar">
    <w:name w:val="Dash Char"/>
    <w:basedOn w:val="TabletextindentChar"/>
    <w:link w:val="Dash"/>
    <w:rsid w:val="00145146"/>
    <w:rPr>
      <w:sz w:val="22"/>
    </w:rPr>
  </w:style>
  <w:style w:type="paragraph" w:customStyle="1" w:styleId="DoubleDot">
    <w:name w:val="Double Dot"/>
    <w:basedOn w:val="Normal"/>
    <w:link w:val="DoubleDotChar"/>
    <w:rsid w:val="00145146"/>
    <w:pPr>
      <w:numPr>
        <w:ilvl w:val="2"/>
        <w:numId w:val="1"/>
      </w:numPr>
    </w:pPr>
  </w:style>
  <w:style w:type="character" w:customStyle="1" w:styleId="DoubleDotChar">
    <w:name w:val="Double Dot Char"/>
    <w:basedOn w:val="TabletextindentChar"/>
    <w:link w:val="DoubleDot"/>
    <w:rsid w:val="00145146"/>
    <w:rPr>
      <w:sz w:val="22"/>
    </w:rPr>
  </w:style>
  <w:style w:type="character" w:customStyle="1" w:styleId="Heading9Char">
    <w:name w:val="Heading 9 Char"/>
    <w:basedOn w:val="DefaultParagraphFont"/>
    <w:link w:val="Heading9"/>
    <w:uiPriority w:val="9"/>
    <w:semiHidden/>
    <w:rsid w:val="008E3FE1"/>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8E3FE1"/>
    <w:rPr>
      <w:sz w:val="22"/>
    </w:rPr>
  </w:style>
  <w:style w:type="character" w:customStyle="1" w:styleId="TabletextChar">
    <w:name w:val="Table text Char"/>
    <w:basedOn w:val="DefaultParagraphFont"/>
    <w:link w:val="Tabletext"/>
    <w:rsid w:val="0014005E"/>
    <w:rPr>
      <w:sz w:val="22"/>
    </w:rPr>
  </w:style>
  <w:style w:type="character" w:styleId="CommentReference">
    <w:name w:val="annotation reference"/>
    <w:basedOn w:val="DefaultParagraphFont"/>
    <w:uiPriority w:val="99"/>
    <w:semiHidden/>
    <w:unhideWhenUsed/>
    <w:rsid w:val="001F1307"/>
    <w:rPr>
      <w:sz w:val="16"/>
      <w:szCs w:val="16"/>
    </w:rPr>
  </w:style>
  <w:style w:type="paragraph" w:styleId="CommentText">
    <w:name w:val="annotation text"/>
    <w:basedOn w:val="Normal"/>
    <w:link w:val="CommentTextChar"/>
    <w:uiPriority w:val="99"/>
    <w:semiHidden/>
    <w:unhideWhenUsed/>
    <w:rsid w:val="001F1307"/>
    <w:rPr>
      <w:sz w:val="20"/>
    </w:rPr>
  </w:style>
  <w:style w:type="character" w:customStyle="1" w:styleId="CommentTextChar">
    <w:name w:val="Comment Text Char"/>
    <w:basedOn w:val="DefaultParagraphFont"/>
    <w:link w:val="CommentText"/>
    <w:uiPriority w:val="99"/>
    <w:semiHidden/>
    <w:rsid w:val="001F1307"/>
  </w:style>
  <w:style w:type="paragraph" w:styleId="CommentSubject">
    <w:name w:val="annotation subject"/>
    <w:basedOn w:val="CommentText"/>
    <w:next w:val="CommentText"/>
    <w:link w:val="CommentSubjectChar"/>
    <w:uiPriority w:val="99"/>
    <w:semiHidden/>
    <w:unhideWhenUsed/>
    <w:rsid w:val="001F1307"/>
    <w:rPr>
      <w:b/>
      <w:bCs/>
    </w:rPr>
  </w:style>
  <w:style w:type="character" w:customStyle="1" w:styleId="CommentSubjectChar">
    <w:name w:val="Comment Subject Char"/>
    <w:basedOn w:val="CommentTextChar"/>
    <w:link w:val="CommentSubject"/>
    <w:uiPriority w:val="99"/>
    <w:semiHidden/>
    <w:rsid w:val="001F1307"/>
    <w:rPr>
      <w:b/>
      <w:bCs/>
    </w:rPr>
  </w:style>
  <w:style w:type="paragraph" w:customStyle="1" w:styleId="tabletext0">
    <w:name w:val="table text"/>
    <w:basedOn w:val="Normal"/>
    <w:link w:val="tabletextChar0"/>
    <w:rsid w:val="00A572E3"/>
    <w:pPr>
      <w:spacing w:before="40" w:after="40"/>
    </w:pPr>
    <w:rPr>
      <w:rFonts w:ascii="Times New Roman" w:eastAsia="Times New Roman" w:hAnsi="Times New Roman"/>
      <w:sz w:val="20"/>
      <w:lang w:eastAsia="en-AU"/>
    </w:rPr>
  </w:style>
  <w:style w:type="character" w:customStyle="1" w:styleId="tabletextChar0">
    <w:name w:val="table text Char"/>
    <w:basedOn w:val="DefaultParagraphFont"/>
    <w:link w:val="tabletext0"/>
    <w:rsid w:val="00A572E3"/>
    <w:rPr>
      <w:rFonts w:ascii="Times New Roman" w:eastAsia="Times New Roman" w:hAnsi="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Legislation\Consultation%20Cover%20Note.dotx" TargetMode="External"/></Relationships>
</file>

<file path=word/theme/theme1.xml><?xml version="1.0" encoding="utf-8"?>
<a:theme xmlns:a="http://schemas.openxmlformats.org/drawingml/2006/main" name="TSYcorporate">
  <a:themeElements>
    <a:clrScheme name="Corporate">
      <a:dk1>
        <a:sysClr val="windowText" lastClr="000000"/>
      </a:dk1>
      <a:lt1>
        <a:sysClr val="window" lastClr="FFFFFF"/>
      </a:lt1>
      <a:dk2>
        <a:srgbClr val="16325C"/>
      </a:dk2>
      <a:lt2>
        <a:srgbClr val="004A80"/>
      </a:lt2>
      <a:accent1>
        <a:srgbClr val="0074BD"/>
      </a:accent1>
      <a:accent2>
        <a:srgbClr val="F06252"/>
      </a:accent2>
      <a:accent3>
        <a:srgbClr val="128E6D"/>
      </a:accent3>
      <a:accent4>
        <a:srgbClr val="404A8F"/>
      </a:accent4>
      <a:accent5>
        <a:srgbClr val="C8DD6B"/>
      </a:accent5>
      <a:accent6>
        <a:srgbClr val="00ABBD"/>
      </a:accent6>
      <a:hlink>
        <a:srgbClr val="0000FF"/>
      </a:hlink>
      <a:folHlink>
        <a:srgbClr val="800080"/>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2.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95AC4D68AD35B54B84C8F2EAD3D25E24" ma:contentTypeVersion="14746" ma:contentTypeDescription="" ma:contentTypeScope="" ma:versionID="60a02cd7036fb11db090ad94eef519e9">
  <xsd:schema xmlns:xsd="http://www.w3.org/2001/XMLSchema" xmlns:xs="http://www.w3.org/2001/XMLSchema" xmlns:p="http://schemas.microsoft.com/office/2006/metadata/properties" xmlns:ns1="http://schemas.microsoft.com/sharepoint/v3" xmlns:ns2="0f563589-9cf9-4143-b1eb-fb0534803d38" xmlns:ns3="9f7bc583-7cbe-45b9-a2bd-8bbb6543b37e" xmlns:ns4="507a8a59-704d-43cf-b103-02b0cd527a9d" xmlns:ns5="http://schemas.microsoft.com/sharepoint/v4" targetNamespace="http://schemas.microsoft.com/office/2006/metadata/properties" ma:root="true" ma:fieldsID="33fbd3fda7c15195141807f0a6179ba2" ns1:_="" ns2:_="" ns3:_="" ns4:_="" ns5:_="">
    <xsd:import namespace="http://schemas.microsoft.com/sharepoint/v3"/>
    <xsd:import namespace="0f563589-9cf9-4143-b1eb-fb0534803d38"/>
    <xsd:import namespace="9f7bc583-7cbe-45b9-a2bd-8bbb6543b37e"/>
    <xsd:import namespace="507a8a59-704d-43cf-b103-02b0cd527a9d"/>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lb508a4dc5e84436a0fe496b536466aa" minOccurs="0"/>
                <xsd:element ref="ns2:TaxCatchAll" minOccurs="0"/>
                <xsd:element ref="ns2:TaxCatchAllLabel" minOccurs="0"/>
                <xsd:element ref="ns1:_dlc_Exempt" minOccurs="0"/>
                <xsd:element ref="ns5:IconOverlay" minOccurs="0"/>
                <xsd:element ref="ns4:LMU_x0020_number" minOccurs="0"/>
                <xsd:element ref="ns4:Nature_x0020_of_x0020_documents" minOccurs="0"/>
                <xsd:element ref="ns4:Number_x0020_version" minOccurs="0"/>
                <xsd:element ref="ns4:Status" minOccurs="0"/>
                <xsd:element ref="ns4:Parliamentary_x0020_session" minOccurs="0"/>
                <xsd:element ref="ns4:Responsible_x0020_LDO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lb508a4dc5e84436a0fe496b536466aa" ma:index="11" nillable="true" ma:taxonomy="true" ma:internalName="lb508a4dc5e84436a0fe496b536466aa" ma:taxonomyFieldName="TSYRecordClass" ma:displayName="Record Class" ma:readOnly="false" ma:default="24;#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7a8a59-704d-43cf-b103-02b0cd527a9d" elementFormDefault="qualified">
    <xsd:import namespace="http://schemas.microsoft.com/office/2006/documentManagement/types"/>
    <xsd:import namespace="http://schemas.microsoft.com/office/infopath/2007/PartnerControls"/>
    <xsd:element name="LMU_x0020_number" ma:index="18" nillable="true" ma:displayName="LMU number" ma:internalName="LMU_x0020_number">
      <xsd:simpleType>
        <xsd:restriction base="dms:Text">
          <xsd:maxLength value="255"/>
        </xsd:restriction>
      </xsd:simpleType>
    </xsd:element>
    <xsd:element name="Nature_x0020_of_x0020_documents" ma:index="19" nillable="true" ma:displayName="Nature of documents" ma:internalName="Nature_x0020_of_x0020_documents">
      <xsd:complexType>
        <xsd:complexContent>
          <xsd:extension base="dms:MultiChoice">
            <xsd:sequence>
              <xsd:element name="Value" maxOccurs="unbounded" minOccurs="0" nillable="true">
                <xsd:simpleType>
                  <xsd:restriction base="dms:Choice">
                    <xsd:enumeration value="ATO correspondence"/>
                    <xsd:enumeration value="ASIC correspondence"/>
                    <xsd:enumeration value="APRA correspondence"/>
                    <xsd:enumeration value="Background-other jurisdictions"/>
                    <xsd:enumeration value="Bid"/>
                    <xsd:enumeration value="Consultation paper"/>
                    <xsd:enumeration value="Discussion paper"/>
                    <xsd:enumeration value="Drafting instructions"/>
                    <xsd:enumeration value="Legislation"/>
                    <xsd:enumeration value="Regulation"/>
                    <xsd:enumeration value="Explanatory memorandum/statement"/>
                    <xsd:enumeration value="Exposure draft"/>
                    <xsd:enumeration value="Legal advice"/>
                    <xsd:enumeration value="Ministerial correspondence"/>
                    <xsd:enumeration value="Note for file"/>
                    <xsd:enumeration value="Parliamentary"/>
                    <xsd:enumeration value="Policy"/>
                    <xsd:enumeration value="RIS"/>
                    <xsd:enumeration value="Stakeholder correspondence"/>
                    <xsd:enumeration value="Submission"/>
                    <xsd:enumeration value="Other"/>
                  </xsd:restriction>
                </xsd:simpleType>
              </xsd:element>
            </xsd:sequence>
          </xsd:extension>
        </xsd:complexContent>
      </xsd:complexType>
    </xsd:element>
    <xsd:element name="Number_x0020_version" ma:index="20" nillable="true" ma:displayName="Number version" ma:internalName="Number_x0020_version">
      <xsd:simpleType>
        <xsd:restriction base="dms:Text">
          <xsd:maxLength value="255"/>
        </xsd:restriction>
      </xsd:simpleType>
    </xsd:element>
    <xsd:element name="Status" ma:index="21" nillable="true" ma:displayName="Status" ma:default="Current" ma:format="Dropdown" ma:internalName="Status">
      <xsd:simpleType>
        <xsd:restriction base="dms:Choice">
          <xsd:enumeration value="Current"/>
          <xsd:enumeration value="Completed"/>
          <xsd:enumeration value="Deferred"/>
          <xsd:enumeration value="Not progressing"/>
        </xsd:restriction>
      </xsd:simpleType>
    </xsd:element>
    <xsd:element name="Parliamentary_x0020_session" ma:index="22" nillable="true" ma:displayName="Parliamentary session" ma:default="45th" ma:format="Dropdown" ma:internalName="Parliamentary_x0020_session">
      <xsd:simpleType>
        <xsd:restriction base="dms:Choice">
          <xsd:enumeration value="TBD"/>
          <xsd:enumeration value="45th"/>
          <xsd:enumeration value="44th"/>
        </xsd:restriction>
      </xsd:simpleType>
    </xsd:element>
    <xsd:element name="Responsible_x0020_LDO_x0020_Officer" ma:index="23" nillable="true" ma:displayName="Responsible LDO Officer" ma:list="UserInfo" ma:SharePointGroup="0" ma:internalName="Responsible_x0020_LDO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RA-9072 - Retain as national archives</TermName>
          <TermId xmlns="http://schemas.microsoft.com/office/infopath/2007/PartnerControls">d71911a4-1e32-4fc6-834f-26c4fc33e217</TermId>
        </TermInfo>
      </Terms>
    </lb508a4dc5e84436a0fe496b536466aa>
    <Nature_x0020_of_x0020_documents xmlns="507a8a59-704d-43cf-b103-02b0cd527a9d"/>
    <IconOverlay xmlns="http://schemas.microsoft.com/sharepoint/v4" xsi:nil="true"/>
    <Number_x0020_version xmlns="507a8a59-704d-43cf-b103-02b0cd527a9d" xsi:nil="true"/>
    <LMU_x0020_number xmlns="507a8a59-704d-43cf-b103-02b0cd527a9d" xsi:nil="true"/>
    <Responsible_x0020_LDO_x0020_Officer xmlns="507a8a59-704d-43cf-b103-02b0cd527a9d">
      <UserInfo>
        <DisplayName/>
        <AccountId xsi:nil="true"/>
        <AccountType/>
      </UserInfo>
    </Responsible_x0020_LDO_x0020_Officer>
    <Status xmlns="507a8a59-704d-43cf-b103-02b0cd527a9d">Current</Status>
    <Parliamentary_x0020_session xmlns="507a8a59-704d-43cf-b103-02b0cd527a9d">45th</Parliamentary_x0020_session>
    <TaxCatchAll xmlns="0f563589-9cf9-4143-b1eb-fb0534803d38">
      <Value>24</Value>
    </TaxCatchAll>
    <_dlc_DocId xmlns="0f563589-9cf9-4143-b1eb-fb0534803d38">2018RG-216-5406</_dlc_DocId>
    <_dlc_DocIdUrl xmlns="0f563589-9cf9-4143-b1eb-fb0534803d38">
      <Url>http://tweb/sites/rg/ldp/_layouts/15/DocIdRedir.aspx?ID=2018RG-216-5406</Url>
      <Description>2018RG-216-5406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982B0-4C96-49E3-B2D8-E14B44089424}">
  <ds:schemaRefs>
    <ds:schemaRef ds:uri="http://schemas.microsoft.com/sharepoint/events"/>
  </ds:schemaRefs>
</ds:datastoreItem>
</file>

<file path=customXml/itemProps2.xml><?xml version="1.0" encoding="utf-8"?>
<ds:datastoreItem xmlns:ds="http://schemas.openxmlformats.org/officeDocument/2006/customXml" ds:itemID="{BA67A319-1BB0-413E-8C6B-D96ECCE47C64}">
  <ds:schemaRefs>
    <ds:schemaRef ds:uri="office.server.policy"/>
  </ds:schemaRefs>
</ds:datastoreItem>
</file>

<file path=customXml/itemProps3.xml><?xml version="1.0" encoding="utf-8"?>
<ds:datastoreItem xmlns:ds="http://schemas.openxmlformats.org/officeDocument/2006/customXml" ds:itemID="{98CF2E07-EEC0-4D4A-A1FE-51F09FD7DCE4}">
  <ds:schemaRefs>
    <ds:schemaRef ds:uri="http://schemas.microsoft.com/sharepoint/v3/contenttype/forms"/>
  </ds:schemaRefs>
</ds:datastoreItem>
</file>

<file path=customXml/itemProps4.xml><?xml version="1.0" encoding="utf-8"?>
<ds:datastoreItem xmlns:ds="http://schemas.openxmlformats.org/officeDocument/2006/customXml" ds:itemID="{F78EA3B9-75B1-4562-AA8A-C4A849691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563589-9cf9-4143-b1eb-fb0534803d38"/>
    <ds:schemaRef ds:uri="9f7bc583-7cbe-45b9-a2bd-8bbb6543b37e"/>
    <ds:schemaRef ds:uri="507a8a59-704d-43cf-b103-02b0cd527a9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07EB073-3F1A-4287-B393-A62AA8A4918E}">
  <ds:schemaRefs>
    <ds:schemaRef ds:uri="http://schemas.microsoft.com/office/2006/metadata/properties"/>
    <ds:schemaRef ds:uri="http://schemas.microsoft.com/sharepoint/v4"/>
    <ds:schemaRef ds:uri="http://purl.org/dc/dcmitype/"/>
    <ds:schemaRef ds:uri="http://purl.org/dc/terms/"/>
    <ds:schemaRef ds:uri="http://schemas.microsoft.com/office/infopath/2007/PartnerControls"/>
    <ds:schemaRef ds:uri="9f7bc583-7cbe-45b9-a2bd-8bbb6543b37e"/>
    <ds:schemaRef ds:uri="http://purl.org/dc/elements/1.1/"/>
    <ds:schemaRef ds:uri="http://schemas.microsoft.com/office/2006/documentManagement/types"/>
    <ds:schemaRef ds:uri="http://schemas.microsoft.com/sharepoint/v3"/>
    <ds:schemaRef ds:uri="0f563589-9cf9-4143-b1eb-fb0534803d38"/>
    <ds:schemaRef ds:uri="http://schemas.openxmlformats.org/package/2006/metadata/core-properties"/>
    <ds:schemaRef ds:uri="507a8a59-704d-43cf-b103-02b0cd527a9d"/>
    <ds:schemaRef ds:uri="http://www.w3.org/XML/1998/namespace"/>
  </ds:schemaRefs>
</ds:datastoreItem>
</file>

<file path=customXml/itemProps6.xml><?xml version="1.0" encoding="utf-8"?>
<ds:datastoreItem xmlns:ds="http://schemas.openxmlformats.org/officeDocument/2006/customXml" ds:itemID="{F6C65F14-4B3F-4496-A018-B8150B7A0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Consultation Cover Note.dotx</Template>
  <TotalTime>120</TotalTime>
  <Pages>6</Pages>
  <Words>1993</Words>
  <Characters>10409</Characters>
  <Application>Microsoft Office Word</Application>
  <DocSecurity>0</DocSecurity>
  <Lines>400</Lines>
  <Paragraphs>172</Paragraphs>
  <ScaleCrop>false</ScaleCrop>
  <HeadingPairs>
    <vt:vector size="2" baseType="variant">
      <vt:variant>
        <vt:lpstr>Title</vt:lpstr>
      </vt:variant>
      <vt:variant>
        <vt:i4>1</vt:i4>
      </vt:variant>
    </vt:vector>
  </HeadingPairs>
  <TitlesOfParts>
    <vt:vector size="1" baseType="lpstr">
      <vt:lpstr>Corporate Collective Investment Vehicles - Exposure draft law and associated explanatory materials</vt:lpstr>
    </vt:vector>
  </TitlesOfParts>
  <Company>Australian Government - The Treasury</Company>
  <LinksUpToDate>false</LinksUpToDate>
  <CharactersWithSpaces>12230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Collective Investment Vehicles - Exposure draft law and associated explanatory materials</dc:title>
  <dc:creator>The Treasury</dc:creator>
  <cp:lastModifiedBy>Hill, Christine</cp:lastModifiedBy>
  <cp:revision>12</cp:revision>
  <dcterms:created xsi:type="dcterms:W3CDTF">2018-10-04T00:30:00Z</dcterms:created>
  <dcterms:modified xsi:type="dcterms:W3CDTF">2018-10-12T05:58:00Z</dcterms:modified>
</cp:coreProperties>
</file>