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F9A919" w14:textId="77777777" w:rsidR="00D75494" w:rsidRDefault="00F04F47" w:rsidP="0024692E">
      <w:pPr>
        <w:pStyle w:val="Heading1"/>
      </w:pPr>
      <w:r w:rsidRPr="00F04F47">
        <w:t>Corporate Collective Investment Vehicles</w:t>
      </w:r>
      <w:r w:rsidRPr="00F04F47">
        <w:br/>
        <w:t>Exposure draft law and associated explanatory materials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EE6FF" w:themeFill="accent1" w:themeFillTint="33"/>
        <w:tblCellMar>
          <w:top w:w="113" w:type="dxa"/>
          <w:bottom w:w="113" w:type="dxa"/>
        </w:tblCellMar>
        <w:tblLook w:val="04A0" w:firstRow="1" w:lastRow="0" w:firstColumn="1" w:lastColumn="0" w:noHBand="0" w:noVBand="1"/>
      </w:tblPr>
      <w:tblGrid>
        <w:gridCol w:w="9751"/>
      </w:tblGrid>
      <w:tr w:rsidR="00D75494" w:rsidRPr="00D75494" w14:paraId="11D4FD5A" w14:textId="77777777" w:rsidTr="00257032">
        <w:tc>
          <w:tcPr>
            <w:tcW w:w="9751" w:type="dxa"/>
            <w:shd w:val="clear" w:color="auto" w:fill="BEE6FF" w:themeFill="accent1" w:themeFillTint="33"/>
            <w:tcMar>
              <w:top w:w="113" w:type="dxa"/>
              <w:bottom w:w="113" w:type="dxa"/>
            </w:tcMar>
          </w:tcPr>
          <w:p w14:paraId="1BD8E93E" w14:textId="77777777" w:rsidR="00F04F47" w:rsidRPr="00F04F47" w:rsidRDefault="00F04F47" w:rsidP="00F04F47">
            <w:pPr>
              <w:pStyle w:val="Boldintroductiontext"/>
            </w:pPr>
            <w:r w:rsidRPr="00F04F47">
              <w:t xml:space="preserve">To assist in identifying relevant issues, this table sets out the key elements of the corporate collective investment vehicle (CCIV) regime and shows the relevant sections and references. </w:t>
            </w:r>
          </w:p>
          <w:p w14:paraId="6B78BC19" w14:textId="15354D89" w:rsidR="00D75494" w:rsidRPr="00D75494" w:rsidRDefault="00F04F47" w:rsidP="00A12BE8">
            <w:pPr>
              <w:pStyle w:val="Boldintroductiontext"/>
            </w:pPr>
            <w:r w:rsidRPr="00F04F47">
              <w:t xml:space="preserve">This exposure draft </w:t>
            </w:r>
            <w:r>
              <w:t xml:space="preserve">includes draft provisions relating to external administration and deregistration, financial services and regulation, </w:t>
            </w:r>
            <w:r w:rsidR="00A12BE8">
              <w:t xml:space="preserve">contraventions </w:t>
            </w:r>
            <w:r w:rsidR="001C2871">
              <w:t>of the law</w:t>
            </w:r>
            <w:r w:rsidR="00A12BE8">
              <w:t xml:space="preserve"> by </w:t>
            </w:r>
            <w:r w:rsidR="001C2871">
              <w:t>a CCIV (and the corporate director’s liability for these contraventions)</w:t>
            </w:r>
            <w:r w:rsidR="00A12BE8">
              <w:t>, and rules relating to the Insolvency Practice Schedule (Corporations).</w:t>
            </w:r>
            <w:r>
              <w:t xml:space="preserve"> </w:t>
            </w:r>
          </w:p>
        </w:tc>
      </w:tr>
    </w:tbl>
    <w:p w14:paraId="33081952" w14:textId="77777777" w:rsidR="00D75494" w:rsidRDefault="00D75494" w:rsidP="00D75494"/>
    <w:tbl>
      <w:tblPr>
        <w:tblStyle w:val="TableGrid"/>
        <w:tblW w:w="9750" w:type="dxa"/>
        <w:tblBorders>
          <w:top w:val="single" w:sz="8" w:space="0" w:color="00ABBD" w:themeColor="accent6"/>
          <w:left w:val="single" w:sz="8" w:space="0" w:color="00ABBD" w:themeColor="accent6"/>
          <w:bottom w:val="single" w:sz="8" w:space="0" w:color="00ABBD" w:themeColor="accent6"/>
          <w:right w:val="single" w:sz="8" w:space="0" w:color="00ABBD" w:themeColor="accent6"/>
          <w:insideH w:val="single" w:sz="8" w:space="0" w:color="00ABBD" w:themeColor="accent6"/>
          <w:insideV w:val="single" w:sz="8" w:space="0" w:color="00ABBD" w:themeColor="accent6"/>
        </w:tblBorders>
        <w:tblLook w:val="04A0" w:firstRow="1" w:lastRow="0" w:firstColumn="1" w:lastColumn="0" w:noHBand="0" w:noVBand="1"/>
      </w:tblPr>
      <w:tblGrid>
        <w:gridCol w:w="4077"/>
        <w:gridCol w:w="148"/>
        <w:gridCol w:w="1346"/>
        <w:gridCol w:w="4179"/>
      </w:tblGrid>
      <w:tr w:rsidR="00FC5CFB" w:rsidRPr="00FC5CFB" w14:paraId="74D33E5B" w14:textId="77777777" w:rsidTr="00400F30">
        <w:trPr>
          <w:cantSplit/>
          <w:trHeight w:val="220"/>
          <w:tblHeader/>
        </w:trPr>
        <w:tc>
          <w:tcPr>
            <w:tcW w:w="4225" w:type="dxa"/>
            <w:gridSpan w:val="2"/>
            <w:shd w:val="clear" w:color="auto" w:fill="00ABBD" w:themeFill="accent6"/>
            <w:vAlign w:val="center"/>
          </w:tcPr>
          <w:p w14:paraId="58C03E65" w14:textId="77777777" w:rsidR="00FC5CFB" w:rsidRPr="00FC5CFB" w:rsidRDefault="00FC5CFB" w:rsidP="0032343F">
            <w:pPr>
              <w:rPr>
                <w:b/>
                <w:color w:val="FFFFFF" w:themeColor="background1"/>
              </w:rPr>
            </w:pPr>
            <w:r w:rsidRPr="00FC5CFB">
              <w:rPr>
                <w:b/>
                <w:color w:val="FFFFFF" w:themeColor="background1"/>
              </w:rPr>
              <w:t>Issue</w:t>
            </w:r>
          </w:p>
        </w:tc>
        <w:tc>
          <w:tcPr>
            <w:tcW w:w="1346" w:type="dxa"/>
            <w:shd w:val="clear" w:color="auto" w:fill="00ABBD" w:themeFill="accent6"/>
            <w:vAlign w:val="center"/>
          </w:tcPr>
          <w:p w14:paraId="6226A033" w14:textId="77777777" w:rsidR="00FC5CFB" w:rsidRPr="00FC5CFB" w:rsidRDefault="00FC5CFB" w:rsidP="0032343F">
            <w:pPr>
              <w:rPr>
                <w:b/>
                <w:color w:val="FFFFFF" w:themeColor="background1"/>
              </w:rPr>
            </w:pPr>
            <w:r w:rsidRPr="00FC5CFB">
              <w:rPr>
                <w:b/>
                <w:color w:val="FFFFFF" w:themeColor="background1"/>
              </w:rPr>
              <w:t>Bill ref.</w:t>
            </w:r>
          </w:p>
        </w:tc>
        <w:tc>
          <w:tcPr>
            <w:tcW w:w="4179" w:type="dxa"/>
            <w:shd w:val="clear" w:color="auto" w:fill="00ABBD" w:themeFill="accent6"/>
            <w:vAlign w:val="center"/>
          </w:tcPr>
          <w:p w14:paraId="7EDCB9DD" w14:textId="77777777" w:rsidR="00FC5CFB" w:rsidRPr="00FC5CFB" w:rsidRDefault="00FC5CFB" w:rsidP="0032343F">
            <w:pPr>
              <w:rPr>
                <w:b/>
                <w:color w:val="FFFFFF" w:themeColor="background1"/>
              </w:rPr>
            </w:pPr>
            <w:r w:rsidRPr="00FC5CFB">
              <w:rPr>
                <w:b/>
                <w:color w:val="FFFFFF" w:themeColor="background1"/>
              </w:rPr>
              <w:t>Brief explanation</w:t>
            </w:r>
          </w:p>
        </w:tc>
      </w:tr>
      <w:tr w:rsidR="00FC69A8" w14:paraId="7B8D7FAE" w14:textId="77777777" w:rsidTr="00400F30">
        <w:trPr>
          <w:cantSplit/>
          <w:trHeight w:val="93"/>
        </w:trPr>
        <w:tc>
          <w:tcPr>
            <w:tcW w:w="5571" w:type="dxa"/>
            <w:gridSpan w:val="3"/>
          </w:tcPr>
          <w:p w14:paraId="670C18A0" w14:textId="182CE980" w:rsidR="00FC69A8" w:rsidRPr="00F04F47" w:rsidRDefault="00FC69A8" w:rsidP="0032343F">
            <w:pPr>
              <w:pStyle w:val="Tabletext"/>
              <w:rPr>
                <w:b/>
              </w:rPr>
            </w:pPr>
            <w:r>
              <w:rPr>
                <w:b/>
              </w:rPr>
              <w:t>External administration and deregistration of a CCIV</w:t>
            </w:r>
          </w:p>
        </w:tc>
        <w:tc>
          <w:tcPr>
            <w:tcW w:w="4179" w:type="dxa"/>
            <w:vMerge w:val="restart"/>
          </w:tcPr>
          <w:p w14:paraId="3589A24D" w14:textId="1370C99B" w:rsidR="00E9214A" w:rsidRDefault="00FC69A8" w:rsidP="00734D2F">
            <w:pPr>
              <w:pStyle w:val="Tabletext"/>
            </w:pPr>
            <w:r w:rsidRPr="00200B97">
              <w:t xml:space="preserve">The provisions in the Act </w:t>
            </w:r>
            <w:r w:rsidR="001463E6">
              <w:t>treat</w:t>
            </w:r>
            <w:r w:rsidRPr="00200B97">
              <w:t xml:space="preserve"> the CCIV in a winding up situation as if it is comprised only of the sub</w:t>
            </w:r>
            <w:r w:rsidRPr="00200B97">
              <w:noBreakHyphen/>
              <w:t>fund that is affected by the winding up</w:t>
            </w:r>
            <w:r w:rsidR="009243DA">
              <w:t xml:space="preserve"> (the sub-fund in wind</w:t>
            </w:r>
            <w:r w:rsidR="005112D8">
              <w:t xml:space="preserve"> </w:t>
            </w:r>
            <w:r w:rsidR="009243DA">
              <w:t>up)</w:t>
            </w:r>
            <w:r w:rsidRPr="00200B97">
              <w:t xml:space="preserve">. </w:t>
            </w:r>
          </w:p>
          <w:p w14:paraId="0CCF1F40" w14:textId="076DB8C5" w:rsidR="009243DA" w:rsidRDefault="009243DA" w:rsidP="00734D2F">
            <w:pPr>
              <w:pStyle w:val="Tabletext"/>
            </w:pPr>
            <w:r>
              <w:t>T</w:t>
            </w:r>
            <w:r w:rsidR="00E9214A">
              <w:t xml:space="preserve">his is achieved by applying </w:t>
            </w:r>
            <w:r w:rsidR="00BF12F2">
              <w:t xml:space="preserve">the following </w:t>
            </w:r>
            <w:r w:rsidR="00E9214A">
              <w:t>separating assumptions:</w:t>
            </w:r>
          </w:p>
          <w:p w14:paraId="5D972985" w14:textId="28B2DB94" w:rsidR="009243DA" w:rsidRDefault="009243DA" w:rsidP="00964E18">
            <w:pPr>
              <w:pStyle w:val="Bullet"/>
            </w:pPr>
            <w:r>
              <w:t>the CCIV’s only business is the business of the sub-fund in wind</w:t>
            </w:r>
            <w:r w:rsidR="005112D8">
              <w:t xml:space="preserve"> </w:t>
            </w:r>
            <w:r>
              <w:t>up;</w:t>
            </w:r>
          </w:p>
          <w:p w14:paraId="3E1F7969" w14:textId="5C160C10" w:rsidR="009243DA" w:rsidRDefault="009243DA" w:rsidP="00964E18">
            <w:pPr>
              <w:pStyle w:val="Bullet"/>
            </w:pPr>
            <w:r>
              <w:t>the only shares issued by the CCIV are the shares referable to the sub-fund in wind</w:t>
            </w:r>
            <w:r w:rsidR="005112D8">
              <w:t xml:space="preserve"> </w:t>
            </w:r>
            <w:r>
              <w:t>up; and</w:t>
            </w:r>
          </w:p>
          <w:p w14:paraId="1A12C661" w14:textId="1E28E1CB" w:rsidR="009243DA" w:rsidRDefault="009243DA" w:rsidP="00964E18">
            <w:pPr>
              <w:pStyle w:val="Bullet"/>
            </w:pPr>
            <w:proofErr w:type="gramStart"/>
            <w:r>
              <w:t>the</w:t>
            </w:r>
            <w:proofErr w:type="gramEnd"/>
            <w:r>
              <w:t xml:space="preserve"> only property, debts and claims of the CCIV are those allocated to the sub-fund in wind</w:t>
            </w:r>
            <w:r w:rsidR="005112D8">
              <w:t xml:space="preserve"> </w:t>
            </w:r>
            <w:r>
              <w:t>up.</w:t>
            </w:r>
          </w:p>
          <w:p w14:paraId="4FC9D0AA" w14:textId="5C76BD8E" w:rsidR="00FC69A8" w:rsidRDefault="00FC69A8" w:rsidP="00734D2F">
            <w:pPr>
              <w:pStyle w:val="Tabletext"/>
            </w:pPr>
            <w:r w:rsidRPr="00200B97">
              <w:t>This approach preserves the segregation of assets between sub</w:t>
            </w:r>
            <w:r w:rsidRPr="00200B97">
              <w:noBreakHyphen/>
              <w:t xml:space="preserve">funds. </w:t>
            </w:r>
          </w:p>
          <w:p w14:paraId="3EF5878D" w14:textId="77777777" w:rsidR="00FC69A8" w:rsidRDefault="00FC69A8" w:rsidP="00734D2F">
            <w:pPr>
              <w:pStyle w:val="Tabletext"/>
            </w:pPr>
            <w:r>
              <w:t xml:space="preserve">Applications to the Court for a winding up order do not need to specify the sub-fund. The Court must </w:t>
            </w:r>
            <w:r w:rsidRPr="00BF32BB">
              <w:t>take into account the separating assumptions when determining whether to give the order sought in the application</w:t>
            </w:r>
            <w:r>
              <w:t>.</w:t>
            </w:r>
          </w:p>
          <w:p w14:paraId="5F90529A" w14:textId="77777777" w:rsidR="001463E6" w:rsidRDefault="00B654A9" w:rsidP="001463E6">
            <w:pPr>
              <w:pStyle w:val="Tabletext"/>
              <w:rPr>
                <w:lang w:val="en-US"/>
              </w:rPr>
            </w:pPr>
            <w:r>
              <w:t>In</w:t>
            </w:r>
            <w:r w:rsidRPr="00E954CA">
              <w:t xml:space="preserve"> a statutory demand served on a CCIV, </w:t>
            </w:r>
            <w:r>
              <w:t>a</w:t>
            </w:r>
            <w:r w:rsidRPr="00E954CA">
              <w:t xml:space="preserve"> </w:t>
            </w:r>
            <w:r w:rsidRPr="00E954CA">
              <w:lastRenderedPageBreak/>
              <w:t>creditor is not required to specify the sub</w:t>
            </w:r>
            <w:r w:rsidRPr="00E954CA">
              <w:noBreakHyphen/>
              <w:t>fund</w:t>
            </w:r>
            <w:r>
              <w:t xml:space="preserve">. </w:t>
            </w:r>
            <w:r w:rsidRPr="00E954CA">
              <w:t xml:space="preserve">The separating assumptions apply </w:t>
            </w:r>
            <w:r>
              <w:t>if</w:t>
            </w:r>
            <w:r w:rsidRPr="00E954CA">
              <w:t xml:space="preserve"> the CCIV fails to comply with the statutory demand.</w:t>
            </w:r>
            <w:r w:rsidR="001463E6" w:rsidRPr="00E954CA">
              <w:rPr>
                <w:lang w:val="en-US"/>
              </w:rPr>
              <w:t xml:space="preserve"> </w:t>
            </w:r>
          </w:p>
          <w:p w14:paraId="6CD68A39" w14:textId="3EBDC57F" w:rsidR="001463E6" w:rsidRDefault="001463E6" w:rsidP="001463E6">
            <w:pPr>
              <w:pStyle w:val="Tabletext"/>
              <w:rPr>
                <w:lang w:val="en-US"/>
              </w:rPr>
            </w:pPr>
            <w:r w:rsidRPr="00E954CA">
              <w:rPr>
                <w:lang w:val="en-US"/>
              </w:rPr>
              <w:t>In a voluntary wind up situation, the separating assumptions generally apply for the purposes of determining whether the CCIV may resolve, or has resolved,</w:t>
            </w:r>
            <w:r w:rsidRPr="00E954CA" w:rsidDel="003E71D4">
              <w:rPr>
                <w:lang w:val="en-US"/>
              </w:rPr>
              <w:t xml:space="preserve"> to</w:t>
            </w:r>
            <w:r w:rsidRPr="00E954CA">
              <w:rPr>
                <w:lang w:val="en-US"/>
              </w:rPr>
              <w:t xml:space="preserve"> wind up the CCIV.</w:t>
            </w:r>
          </w:p>
          <w:p w14:paraId="11F83ECA" w14:textId="6F156170" w:rsidR="00FC69A8" w:rsidRPr="001F59A1" w:rsidRDefault="001463E6" w:rsidP="00FC69A8">
            <w:pPr>
              <w:pStyle w:val="Tabletext"/>
              <w:rPr>
                <w:lang w:val="en-US"/>
              </w:rPr>
            </w:pPr>
            <w:r w:rsidRPr="00405B16">
              <w:rPr>
                <w:lang w:val="en-US"/>
              </w:rPr>
              <w:t>A notice or document relating to the winding up must specify the name and ARFN of the sub</w:t>
            </w:r>
            <w:r w:rsidRPr="00405B16">
              <w:rPr>
                <w:lang w:val="en-US"/>
              </w:rPr>
              <w:noBreakHyphen/>
              <w:t>fund in respect of wh</w:t>
            </w:r>
            <w:r>
              <w:rPr>
                <w:lang w:val="en-US"/>
              </w:rPr>
              <w:t xml:space="preserve">ich the CCIV is being wound up and </w:t>
            </w:r>
            <w:r w:rsidRPr="00405B16">
              <w:rPr>
                <w:lang w:val="en-US"/>
              </w:rPr>
              <w:t>must include the words ‘in liquidation’ after the sub</w:t>
            </w:r>
            <w:r w:rsidRPr="00405B16">
              <w:rPr>
                <w:lang w:val="en-US"/>
              </w:rPr>
              <w:noBreakHyphen/>
              <w:t>fund’s name.</w:t>
            </w:r>
          </w:p>
        </w:tc>
      </w:tr>
      <w:tr w:rsidR="00FC69A8" w14:paraId="0D95EF35" w14:textId="77777777" w:rsidTr="00400F30">
        <w:trPr>
          <w:cantSplit/>
          <w:trHeight w:val="93"/>
        </w:trPr>
        <w:tc>
          <w:tcPr>
            <w:tcW w:w="4077" w:type="dxa"/>
          </w:tcPr>
          <w:p w14:paraId="7E682E2B" w14:textId="5D513713" w:rsidR="00FC69A8" w:rsidRDefault="00FC69A8" w:rsidP="0032343F">
            <w:pPr>
              <w:pStyle w:val="Tabletextindent"/>
            </w:pPr>
            <w:r>
              <w:t>Winding up provisions generally apply separately in respect of each sub-fund</w:t>
            </w:r>
          </w:p>
        </w:tc>
        <w:tc>
          <w:tcPr>
            <w:tcW w:w="1494" w:type="dxa"/>
            <w:gridSpan w:val="2"/>
          </w:tcPr>
          <w:p w14:paraId="7DC0207A" w14:textId="2469B693" w:rsidR="00FC69A8" w:rsidRDefault="00FC69A8" w:rsidP="0032343F">
            <w:pPr>
              <w:pStyle w:val="Tabletext"/>
            </w:pPr>
            <w:r>
              <w:t>1249A</w:t>
            </w:r>
            <w:r w:rsidR="00C842D5">
              <w:t xml:space="preserve"> – </w:t>
            </w:r>
            <w:r>
              <w:t>1249D</w:t>
            </w:r>
          </w:p>
        </w:tc>
        <w:tc>
          <w:tcPr>
            <w:tcW w:w="4179" w:type="dxa"/>
            <w:vMerge/>
          </w:tcPr>
          <w:p w14:paraId="4EAAE813" w14:textId="22E38E12" w:rsidR="00FC69A8" w:rsidRDefault="00FC69A8" w:rsidP="00FC69A8">
            <w:pPr>
              <w:pStyle w:val="Tabletext"/>
            </w:pPr>
          </w:p>
        </w:tc>
      </w:tr>
      <w:tr w:rsidR="00C842D5" w14:paraId="5BA1451B" w14:textId="77777777" w:rsidTr="00400F30">
        <w:trPr>
          <w:cantSplit/>
          <w:trHeight w:val="93"/>
        </w:trPr>
        <w:tc>
          <w:tcPr>
            <w:tcW w:w="4077" w:type="dxa"/>
          </w:tcPr>
          <w:p w14:paraId="6DAB923C" w14:textId="6F523C72" w:rsidR="00C842D5" w:rsidRDefault="00C842D5" w:rsidP="0032343F">
            <w:pPr>
              <w:pStyle w:val="Tabletextindent"/>
            </w:pPr>
            <w:r>
              <w:t>Winding up does not affect allocation or segregation of assets and liabilities</w:t>
            </w:r>
          </w:p>
        </w:tc>
        <w:tc>
          <w:tcPr>
            <w:tcW w:w="1494" w:type="dxa"/>
            <w:gridSpan w:val="2"/>
          </w:tcPr>
          <w:p w14:paraId="6A15F1D1" w14:textId="4E917632" w:rsidR="00C842D5" w:rsidRDefault="00C842D5" w:rsidP="0032343F">
            <w:pPr>
              <w:pStyle w:val="Tabletext"/>
            </w:pPr>
            <w:r>
              <w:t>1249E</w:t>
            </w:r>
          </w:p>
        </w:tc>
        <w:tc>
          <w:tcPr>
            <w:tcW w:w="4179" w:type="dxa"/>
            <w:vMerge/>
          </w:tcPr>
          <w:p w14:paraId="66EAE006" w14:textId="08B92F0E" w:rsidR="00C842D5" w:rsidRDefault="00C842D5" w:rsidP="00FC69A8">
            <w:pPr>
              <w:pStyle w:val="Tabletext"/>
            </w:pPr>
          </w:p>
        </w:tc>
      </w:tr>
      <w:tr w:rsidR="00C842D5" w14:paraId="70C93231" w14:textId="77777777" w:rsidTr="00400F30">
        <w:trPr>
          <w:cantSplit/>
          <w:trHeight w:val="93"/>
        </w:trPr>
        <w:tc>
          <w:tcPr>
            <w:tcW w:w="4077" w:type="dxa"/>
          </w:tcPr>
          <w:p w14:paraId="4BDF84E9" w14:textId="2EE937B2" w:rsidR="00C842D5" w:rsidRDefault="00C842D5" w:rsidP="0032343F">
            <w:pPr>
              <w:pStyle w:val="Tabletextindent"/>
            </w:pPr>
            <w:r>
              <w:t>Court ordered wind ups of a CCIV in respect of a sub-fund</w:t>
            </w:r>
          </w:p>
        </w:tc>
        <w:tc>
          <w:tcPr>
            <w:tcW w:w="1494" w:type="dxa"/>
            <w:gridSpan w:val="2"/>
          </w:tcPr>
          <w:p w14:paraId="58FAC4D8" w14:textId="28CAABE7" w:rsidR="00C842D5" w:rsidRDefault="00C842D5" w:rsidP="0032343F">
            <w:pPr>
              <w:pStyle w:val="Tabletext"/>
            </w:pPr>
            <w:r>
              <w:t>1249F; 1249L</w:t>
            </w:r>
          </w:p>
        </w:tc>
        <w:tc>
          <w:tcPr>
            <w:tcW w:w="4179" w:type="dxa"/>
            <w:vMerge/>
          </w:tcPr>
          <w:p w14:paraId="275E8962" w14:textId="77777777" w:rsidR="00C842D5" w:rsidRDefault="00C842D5" w:rsidP="00FC69A8">
            <w:pPr>
              <w:pStyle w:val="Tabletext"/>
            </w:pPr>
          </w:p>
        </w:tc>
      </w:tr>
      <w:tr w:rsidR="00C842D5" w14:paraId="0EE1E583" w14:textId="77777777" w:rsidTr="00400F30">
        <w:trPr>
          <w:cantSplit/>
          <w:trHeight w:val="93"/>
        </w:trPr>
        <w:tc>
          <w:tcPr>
            <w:tcW w:w="4077" w:type="dxa"/>
          </w:tcPr>
          <w:p w14:paraId="54E51179" w14:textId="77777777" w:rsidR="00C842D5" w:rsidRDefault="00C842D5" w:rsidP="0032343F">
            <w:pPr>
              <w:pStyle w:val="Tabletextindent"/>
            </w:pPr>
            <w:r>
              <w:t>Resolution for winding up of a CCIV in respect of a sub-fund</w:t>
            </w:r>
          </w:p>
        </w:tc>
        <w:tc>
          <w:tcPr>
            <w:tcW w:w="1494" w:type="dxa"/>
            <w:gridSpan w:val="2"/>
          </w:tcPr>
          <w:p w14:paraId="72DC21AD" w14:textId="77777777" w:rsidR="00C842D5" w:rsidRDefault="00C842D5" w:rsidP="0032343F">
            <w:pPr>
              <w:pStyle w:val="Tabletext"/>
            </w:pPr>
            <w:r>
              <w:t>1249M</w:t>
            </w:r>
          </w:p>
        </w:tc>
        <w:tc>
          <w:tcPr>
            <w:tcW w:w="4179" w:type="dxa"/>
            <w:vMerge/>
          </w:tcPr>
          <w:p w14:paraId="0204D812" w14:textId="69726A5B" w:rsidR="00C842D5" w:rsidRDefault="00C842D5" w:rsidP="00FC69A8">
            <w:pPr>
              <w:pStyle w:val="Tabletext"/>
            </w:pPr>
          </w:p>
        </w:tc>
      </w:tr>
      <w:tr w:rsidR="00C842D5" w14:paraId="1ED3494D" w14:textId="77777777" w:rsidTr="00400F30">
        <w:trPr>
          <w:cantSplit/>
          <w:trHeight w:val="93"/>
        </w:trPr>
        <w:tc>
          <w:tcPr>
            <w:tcW w:w="4077" w:type="dxa"/>
          </w:tcPr>
          <w:p w14:paraId="0B2E8433" w14:textId="56A3C92E" w:rsidR="00C842D5" w:rsidRDefault="00C842D5" w:rsidP="0032343F">
            <w:pPr>
              <w:pStyle w:val="Tabletextindent"/>
            </w:pPr>
            <w:r>
              <w:t>Statutory demand</w:t>
            </w:r>
          </w:p>
        </w:tc>
        <w:tc>
          <w:tcPr>
            <w:tcW w:w="1494" w:type="dxa"/>
            <w:gridSpan w:val="2"/>
          </w:tcPr>
          <w:p w14:paraId="12924616" w14:textId="3AC745CC" w:rsidR="00C842D5" w:rsidRDefault="00C842D5" w:rsidP="00C842D5">
            <w:pPr>
              <w:pStyle w:val="Tabletext"/>
            </w:pPr>
            <w:r>
              <w:t>1249G – 1249K</w:t>
            </w:r>
          </w:p>
        </w:tc>
        <w:tc>
          <w:tcPr>
            <w:tcW w:w="4179" w:type="dxa"/>
            <w:vMerge/>
          </w:tcPr>
          <w:p w14:paraId="10977E41" w14:textId="7D783766" w:rsidR="00C842D5" w:rsidRDefault="00C842D5" w:rsidP="00FC69A8">
            <w:pPr>
              <w:pStyle w:val="Tabletext"/>
            </w:pPr>
          </w:p>
        </w:tc>
      </w:tr>
      <w:tr w:rsidR="00C842D5" w14:paraId="26FAF825" w14:textId="77777777" w:rsidTr="00400F30">
        <w:trPr>
          <w:cantSplit/>
          <w:trHeight w:val="93"/>
        </w:trPr>
        <w:tc>
          <w:tcPr>
            <w:tcW w:w="4077" w:type="dxa"/>
          </w:tcPr>
          <w:p w14:paraId="2AAFBF9A" w14:textId="55AC730E" w:rsidR="00C842D5" w:rsidRDefault="00C842D5" w:rsidP="0032343F">
            <w:pPr>
              <w:pStyle w:val="Tabletextindent"/>
            </w:pPr>
            <w:r>
              <w:t>Powers of the liquidator, corporate director and depositary in a winding up situation</w:t>
            </w:r>
          </w:p>
        </w:tc>
        <w:tc>
          <w:tcPr>
            <w:tcW w:w="1494" w:type="dxa"/>
            <w:gridSpan w:val="2"/>
          </w:tcPr>
          <w:p w14:paraId="33564C5D" w14:textId="5A7B44ED" w:rsidR="00C842D5" w:rsidRDefault="00C842D5" w:rsidP="0032343F">
            <w:pPr>
              <w:pStyle w:val="Tabletext"/>
            </w:pPr>
            <w:r>
              <w:t>1249E; 1249P; 1249Q; 1249R; 1249T</w:t>
            </w:r>
          </w:p>
        </w:tc>
        <w:tc>
          <w:tcPr>
            <w:tcW w:w="4179" w:type="dxa"/>
            <w:vMerge/>
          </w:tcPr>
          <w:p w14:paraId="10BC6853" w14:textId="12B8ACF4" w:rsidR="00C842D5" w:rsidRDefault="00C842D5" w:rsidP="00FC69A8">
            <w:pPr>
              <w:pStyle w:val="Tabletext"/>
            </w:pPr>
          </w:p>
        </w:tc>
      </w:tr>
      <w:tr w:rsidR="00C842D5" w14:paraId="1788F2C4" w14:textId="77777777" w:rsidTr="00400F30">
        <w:trPr>
          <w:cantSplit/>
          <w:trHeight w:val="93"/>
        </w:trPr>
        <w:tc>
          <w:tcPr>
            <w:tcW w:w="4077" w:type="dxa"/>
          </w:tcPr>
          <w:p w14:paraId="050E5B91" w14:textId="6B56271C" w:rsidR="00C842D5" w:rsidRDefault="00C842D5" w:rsidP="0032343F">
            <w:pPr>
              <w:pStyle w:val="Tabletextindent"/>
            </w:pPr>
            <w:r>
              <w:t>Auditor’s duties during winding up</w:t>
            </w:r>
          </w:p>
        </w:tc>
        <w:tc>
          <w:tcPr>
            <w:tcW w:w="1494" w:type="dxa"/>
            <w:gridSpan w:val="2"/>
          </w:tcPr>
          <w:p w14:paraId="12DB7F07" w14:textId="77777777" w:rsidR="00C842D5" w:rsidRDefault="00C842D5" w:rsidP="0032343F">
            <w:pPr>
              <w:pStyle w:val="Tabletext"/>
            </w:pPr>
            <w:r>
              <w:t>1249S</w:t>
            </w:r>
          </w:p>
        </w:tc>
        <w:tc>
          <w:tcPr>
            <w:tcW w:w="4179" w:type="dxa"/>
            <w:vMerge/>
          </w:tcPr>
          <w:p w14:paraId="09A4EF9C" w14:textId="38E380AF" w:rsidR="00C842D5" w:rsidRDefault="00C842D5" w:rsidP="00FC69A8">
            <w:pPr>
              <w:pStyle w:val="Tabletext"/>
            </w:pPr>
          </w:p>
        </w:tc>
      </w:tr>
      <w:tr w:rsidR="00C842D5" w14:paraId="62E7BFE0" w14:textId="77777777" w:rsidTr="00400F30">
        <w:trPr>
          <w:cantSplit/>
          <w:trHeight w:val="93"/>
        </w:trPr>
        <w:tc>
          <w:tcPr>
            <w:tcW w:w="4077" w:type="dxa"/>
          </w:tcPr>
          <w:p w14:paraId="48985DAF" w14:textId="6327477E" w:rsidR="00C842D5" w:rsidRDefault="00C842D5" w:rsidP="0032343F">
            <w:pPr>
              <w:pStyle w:val="Tabletextindent"/>
            </w:pPr>
            <w:r>
              <w:t>Identifying the sub-fund in respect of which the CCIV is being wound up on documents</w:t>
            </w:r>
          </w:p>
        </w:tc>
        <w:tc>
          <w:tcPr>
            <w:tcW w:w="1494" w:type="dxa"/>
            <w:gridSpan w:val="2"/>
          </w:tcPr>
          <w:p w14:paraId="184ED2FA" w14:textId="77777777" w:rsidR="00C842D5" w:rsidRDefault="00C842D5" w:rsidP="0032343F">
            <w:pPr>
              <w:pStyle w:val="Tabletext"/>
            </w:pPr>
            <w:r>
              <w:t>1249N</w:t>
            </w:r>
          </w:p>
        </w:tc>
        <w:tc>
          <w:tcPr>
            <w:tcW w:w="4179" w:type="dxa"/>
            <w:vMerge/>
          </w:tcPr>
          <w:p w14:paraId="2300707A" w14:textId="0C8CF96A" w:rsidR="00C842D5" w:rsidRDefault="00C842D5" w:rsidP="00FC69A8">
            <w:pPr>
              <w:pStyle w:val="Tabletext"/>
            </w:pPr>
          </w:p>
        </w:tc>
      </w:tr>
      <w:tr w:rsidR="00C842D5" w14:paraId="057AFB03" w14:textId="77777777" w:rsidTr="00964E18">
        <w:trPr>
          <w:cantSplit/>
          <w:trHeight w:val="760"/>
        </w:trPr>
        <w:tc>
          <w:tcPr>
            <w:tcW w:w="4077" w:type="dxa"/>
          </w:tcPr>
          <w:p w14:paraId="6FB8E01F" w14:textId="4CC9AD60" w:rsidR="00C842D5" w:rsidRDefault="00C842D5" w:rsidP="0032343F">
            <w:pPr>
              <w:pStyle w:val="Tabletextindent"/>
            </w:pPr>
            <w:r>
              <w:t>ASIC-initiated winding up</w:t>
            </w:r>
          </w:p>
        </w:tc>
        <w:tc>
          <w:tcPr>
            <w:tcW w:w="1494" w:type="dxa"/>
            <w:gridSpan w:val="2"/>
          </w:tcPr>
          <w:p w14:paraId="227AE6BF" w14:textId="77777777" w:rsidR="00C842D5" w:rsidRDefault="00C842D5" w:rsidP="0032343F">
            <w:pPr>
              <w:pStyle w:val="Tabletext"/>
            </w:pPr>
            <w:r>
              <w:t>1249U</w:t>
            </w:r>
          </w:p>
        </w:tc>
        <w:tc>
          <w:tcPr>
            <w:tcW w:w="4179" w:type="dxa"/>
            <w:vMerge/>
          </w:tcPr>
          <w:p w14:paraId="5FF2ED00" w14:textId="7A507ED2" w:rsidR="00C842D5" w:rsidRDefault="00C842D5" w:rsidP="00FC69A8">
            <w:pPr>
              <w:pStyle w:val="Tabletext"/>
            </w:pPr>
          </w:p>
        </w:tc>
      </w:tr>
      <w:tr w:rsidR="00C842D5" w14:paraId="0E2312AA" w14:textId="77777777" w:rsidTr="00400F30">
        <w:trPr>
          <w:cantSplit/>
          <w:trHeight w:val="928"/>
        </w:trPr>
        <w:tc>
          <w:tcPr>
            <w:tcW w:w="4077" w:type="dxa"/>
          </w:tcPr>
          <w:p w14:paraId="5244C472" w14:textId="4D9FF552" w:rsidR="00C842D5" w:rsidRDefault="00C842D5" w:rsidP="0032343F">
            <w:pPr>
              <w:pStyle w:val="Tabletextindent"/>
            </w:pPr>
            <w:r>
              <w:lastRenderedPageBreak/>
              <w:t xml:space="preserve">Transfer of books relating to the winding up back to the CCIV </w:t>
            </w:r>
          </w:p>
        </w:tc>
        <w:tc>
          <w:tcPr>
            <w:tcW w:w="1494" w:type="dxa"/>
            <w:gridSpan w:val="2"/>
          </w:tcPr>
          <w:p w14:paraId="333126DA" w14:textId="7EF395CE" w:rsidR="00C842D5" w:rsidRDefault="00C842D5" w:rsidP="0032343F">
            <w:pPr>
              <w:pStyle w:val="Tabletext"/>
            </w:pPr>
            <w:r>
              <w:t>1270; 1270A</w:t>
            </w:r>
            <w:r>
              <w:tab/>
            </w:r>
          </w:p>
        </w:tc>
        <w:tc>
          <w:tcPr>
            <w:tcW w:w="4179" w:type="dxa"/>
            <w:vMerge/>
          </w:tcPr>
          <w:p w14:paraId="7FAC4013" w14:textId="2B866A79" w:rsidR="00C842D5" w:rsidRPr="0032343F" w:rsidRDefault="00C842D5" w:rsidP="00FC69A8">
            <w:pPr>
              <w:pStyle w:val="Tabletext"/>
              <w:rPr>
                <w:sz w:val="20"/>
              </w:rPr>
            </w:pPr>
          </w:p>
        </w:tc>
      </w:tr>
      <w:tr w:rsidR="00C842D5" w14:paraId="13399CCB" w14:textId="77777777" w:rsidTr="00B654A9">
        <w:trPr>
          <w:cantSplit/>
          <w:trHeight w:val="702"/>
        </w:trPr>
        <w:tc>
          <w:tcPr>
            <w:tcW w:w="4077" w:type="dxa"/>
          </w:tcPr>
          <w:p w14:paraId="14238033" w14:textId="4956249E" w:rsidR="00C842D5" w:rsidRDefault="00C842D5" w:rsidP="0032343F">
            <w:pPr>
              <w:pStyle w:val="Tabletextindent"/>
            </w:pPr>
            <w:r>
              <w:lastRenderedPageBreak/>
              <w:t>Other external administration procedures</w:t>
            </w:r>
          </w:p>
        </w:tc>
        <w:tc>
          <w:tcPr>
            <w:tcW w:w="1494" w:type="dxa"/>
            <w:gridSpan w:val="2"/>
          </w:tcPr>
          <w:p w14:paraId="30F9E6FD" w14:textId="3F1C408F" w:rsidR="00C842D5" w:rsidRDefault="00B459E9" w:rsidP="0032343F">
            <w:pPr>
              <w:pStyle w:val="Tabletext"/>
            </w:pPr>
            <w:r>
              <w:t>N</w:t>
            </w:r>
            <w:bookmarkStart w:id="0" w:name="_GoBack"/>
            <w:bookmarkEnd w:id="0"/>
            <w:r>
              <w:t>/A</w:t>
            </w:r>
          </w:p>
        </w:tc>
        <w:tc>
          <w:tcPr>
            <w:tcW w:w="4179" w:type="dxa"/>
            <w:vMerge w:val="restart"/>
          </w:tcPr>
          <w:p w14:paraId="62BEC0FB" w14:textId="5252CD7F" w:rsidR="00B654A9" w:rsidRDefault="00C842D5" w:rsidP="00CC3D2C">
            <w:pPr>
              <w:pStyle w:val="Tabletext"/>
            </w:pPr>
            <w:r w:rsidRPr="00405B16">
              <w:t>A liquidator may only exercise a power or perform a function to the extent that it relates to the sub</w:t>
            </w:r>
            <w:r w:rsidRPr="00405B16">
              <w:noBreakHyphen/>
              <w:t>fund that is being wound</w:t>
            </w:r>
            <w:r w:rsidR="008A2887">
              <w:t xml:space="preserve"> </w:t>
            </w:r>
            <w:r w:rsidRPr="00405B16">
              <w:t>up.</w:t>
            </w:r>
            <w:r w:rsidR="00B654A9">
              <w:t xml:space="preserve"> </w:t>
            </w:r>
          </w:p>
          <w:p w14:paraId="696811EB" w14:textId="77777777" w:rsidR="00C842D5" w:rsidRPr="00B654A9" w:rsidRDefault="00C842D5" w:rsidP="00CC3D2C">
            <w:pPr>
              <w:pStyle w:val="Tabletext"/>
            </w:pPr>
            <w:r w:rsidRPr="00B654A9">
              <w:t>An auditor does not need to undertake any audit activities for the sub</w:t>
            </w:r>
            <w:r w:rsidRPr="00B654A9">
              <w:noBreakHyphen/>
              <w:t>fund that is affected by the wind up.</w:t>
            </w:r>
          </w:p>
          <w:p w14:paraId="58844181" w14:textId="4DA263F7" w:rsidR="00C842D5" w:rsidRPr="00B654A9" w:rsidRDefault="00C842D5" w:rsidP="00CC3D2C">
            <w:pPr>
              <w:pStyle w:val="Tabletext"/>
              <w:rPr>
                <w:szCs w:val="22"/>
              </w:rPr>
            </w:pPr>
            <w:r w:rsidRPr="00B654A9">
              <w:rPr>
                <w:szCs w:val="22"/>
              </w:rPr>
              <w:t>Both the corporate director and the liquidator have access to the books relating to the sub-fund in respect of which the CCIV is being wound up.</w:t>
            </w:r>
          </w:p>
          <w:p w14:paraId="64D1E999" w14:textId="77777777" w:rsidR="00B654A9" w:rsidRDefault="00C842D5" w:rsidP="0032343F">
            <w:pPr>
              <w:pStyle w:val="Tabletext"/>
              <w:rPr>
                <w:szCs w:val="22"/>
              </w:rPr>
            </w:pPr>
            <w:r w:rsidRPr="00B654A9">
              <w:rPr>
                <w:szCs w:val="22"/>
              </w:rPr>
              <w:t>Provisions for receivership, schemes of arrangement, deregistration in respect of a sub-fund, and deregistration of</w:t>
            </w:r>
            <w:r w:rsidR="00B654A9" w:rsidRPr="00B654A9">
              <w:rPr>
                <w:szCs w:val="22"/>
              </w:rPr>
              <w:t xml:space="preserve"> a CCIV are under development. </w:t>
            </w:r>
          </w:p>
          <w:p w14:paraId="7E1F562B" w14:textId="69E1EAF9" w:rsidR="00C842D5" w:rsidRPr="00B654A9" w:rsidRDefault="00C842D5" w:rsidP="0032343F">
            <w:pPr>
              <w:pStyle w:val="Tabletext"/>
              <w:rPr>
                <w:szCs w:val="22"/>
              </w:rPr>
            </w:pPr>
            <w:r w:rsidRPr="00B654A9">
              <w:rPr>
                <w:szCs w:val="22"/>
              </w:rPr>
              <w:t>Voluntary administration and ASIC-initiated wind</w:t>
            </w:r>
            <w:r w:rsidR="003E58DF">
              <w:rPr>
                <w:szCs w:val="22"/>
              </w:rPr>
              <w:t xml:space="preserve"> </w:t>
            </w:r>
            <w:r w:rsidRPr="00B654A9">
              <w:rPr>
                <w:szCs w:val="22"/>
              </w:rPr>
              <w:t>up procedures will not apply.</w:t>
            </w:r>
          </w:p>
        </w:tc>
      </w:tr>
      <w:tr w:rsidR="00C842D5" w14:paraId="23C15F70" w14:textId="77777777" w:rsidTr="001F59A1">
        <w:trPr>
          <w:cantSplit/>
          <w:trHeight w:val="3935"/>
        </w:trPr>
        <w:tc>
          <w:tcPr>
            <w:tcW w:w="4077" w:type="dxa"/>
          </w:tcPr>
          <w:p w14:paraId="2440E440" w14:textId="273A27F6" w:rsidR="00C842D5" w:rsidRDefault="00C842D5" w:rsidP="0032343F">
            <w:pPr>
              <w:pStyle w:val="Tabletextindent"/>
            </w:pPr>
            <w:r>
              <w:t>Deregistration of sub-funds and CCIVs</w:t>
            </w:r>
          </w:p>
        </w:tc>
        <w:tc>
          <w:tcPr>
            <w:tcW w:w="1494" w:type="dxa"/>
            <w:gridSpan w:val="2"/>
          </w:tcPr>
          <w:p w14:paraId="6881302F" w14:textId="3992674C" w:rsidR="00C842D5" w:rsidRDefault="00B459E9" w:rsidP="0032343F">
            <w:pPr>
              <w:pStyle w:val="Tabletext"/>
            </w:pPr>
            <w:r>
              <w:t>N/A</w:t>
            </w:r>
          </w:p>
        </w:tc>
        <w:tc>
          <w:tcPr>
            <w:tcW w:w="4179" w:type="dxa"/>
            <w:vMerge/>
          </w:tcPr>
          <w:p w14:paraId="3F22591C" w14:textId="409D0E69" w:rsidR="00C842D5" w:rsidRDefault="00C842D5" w:rsidP="0032343F">
            <w:pPr>
              <w:pStyle w:val="Tabletext"/>
            </w:pPr>
          </w:p>
        </w:tc>
      </w:tr>
      <w:tr w:rsidR="001F59A1" w14:paraId="34BBE9E1" w14:textId="77777777" w:rsidTr="00400F30">
        <w:trPr>
          <w:cantSplit/>
          <w:trHeight w:val="93"/>
        </w:trPr>
        <w:tc>
          <w:tcPr>
            <w:tcW w:w="5571" w:type="dxa"/>
            <w:gridSpan w:val="3"/>
          </w:tcPr>
          <w:p w14:paraId="40951CD1" w14:textId="05FEFEF7" w:rsidR="001F59A1" w:rsidRDefault="001F59A1" w:rsidP="00734D2F">
            <w:pPr>
              <w:pStyle w:val="Tabletext"/>
            </w:pPr>
            <w:r w:rsidRPr="001B02FB">
              <w:rPr>
                <w:b/>
              </w:rPr>
              <w:t>Takeovers and continuous disclosure</w:t>
            </w:r>
          </w:p>
        </w:tc>
        <w:tc>
          <w:tcPr>
            <w:tcW w:w="4179" w:type="dxa"/>
          </w:tcPr>
          <w:p w14:paraId="7C346E08" w14:textId="77777777" w:rsidR="001F59A1" w:rsidRDefault="001F59A1" w:rsidP="001F59A1">
            <w:pPr>
              <w:pStyle w:val="Tabletext"/>
            </w:pPr>
            <w:r w:rsidRPr="00C842D5">
              <w:t xml:space="preserve">The acquisition of control in a CCIV will not be regulated by the provisions of Chapters 6 to 6C. </w:t>
            </w:r>
          </w:p>
          <w:p w14:paraId="337F4662" w14:textId="559F3AC4" w:rsidR="001F59A1" w:rsidRDefault="001F59A1" w:rsidP="001F59A1">
            <w:pPr>
              <w:pStyle w:val="Tabletext"/>
            </w:pPr>
            <w:r w:rsidRPr="00C842D5">
              <w:t>This means that a person will not be restricted, or prohibited, from acquiring a certain level of control in a CCIV (through the acquisition of voting power in a CCIV).</w:t>
            </w:r>
          </w:p>
        </w:tc>
      </w:tr>
      <w:tr w:rsidR="00B60A33" w14:paraId="0E04ACCE" w14:textId="77777777" w:rsidTr="00964E18">
        <w:trPr>
          <w:cantSplit/>
          <w:trHeight w:val="702"/>
        </w:trPr>
        <w:tc>
          <w:tcPr>
            <w:tcW w:w="4077" w:type="dxa"/>
          </w:tcPr>
          <w:p w14:paraId="1F432654" w14:textId="1170A2F4" w:rsidR="00B60A33" w:rsidRDefault="00B60A33" w:rsidP="0032343F">
            <w:pPr>
              <w:pStyle w:val="Tabletextindent"/>
            </w:pPr>
            <w:r>
              <w:lastRenderedPageBreak/>
              <w:t>Takeovers, compulsory acquisitions and buy-outs of a CCIV</w:t>
            </w:r>
          </w:p>
        </w:tc>
        <w:tc>
          <w:tcPr>
            <w:tcW w:w="1494" w:type="dxa"/>
            <w:gridSpan w:val="2"/>
          </w:tcPr>
          <w:p w14:paraId="6E221597" w14:textId="6931AF40" w:rsidR="00B60A33" w:rsidRDefault="00B60A33" w:rsidP="0032343F">
            <w:pPr>
              <w:pStyle w:val="Tabletext"/>
            </w:pPr>
            <w:r>
              <w:t>N/A</w:t>
            </w:r>
          </w:p>
        </w:tc>
        <w:tc>
          <w:tcPr>
            <w:tcW w:w="4179" w:type="dxa"/>
            <w:vMerge w:val="restart"/>
          </w:tcPr>
          <w:p w14:paraId="310E325F" w14:textId="3CBF24F9" w:rsidR="00B60A33" w:rsidRDefault="00B60A33" w:rsidP="001F59A1">
            <w:pPr>
              <w:pStyle w:val="Tabletext"/>
            </w:pPr>
            <w:r w:rsidRPr="00C842D5">
              <w:t xml:space="preserve">This will not affect the restrictions on the acquisition of control in other entities under Chapters 6 to 6C. </w:t>
            </w:r>
            <w:r>
              <w:t xml:space="preserve"> </w:t>
            </w:r>
            <w:r w:rsidRPr="00C842D5">
              <w:t>That is, if a CCIV seeks to acquire a certain level of control (or voting power) in another entity (that is regulated by Chapters 6 to</w:t>
            </w:r>
            <w:r>
              <w:t> </w:t>
            </w:r>
            <w:r w:rsidRPr="00C842D5">
              <w:t xml:space="preserve">6C), then the CCIV must comply with the relevant requirements. </w:t>
            </w:r>
          </w:p>
          <w:p w14:paraId="08AF3E08" w14:textId="77777777" w:rsidR="00B60A33" w:rsidRDefault="00B60A33" w:rsidP="001F59A1">
            <w:pPr>
              <w:pStyle w:val="Tabletext"/>
            </w:pPr>
            <w:r w:rsidRPr="00012354">
              <w:t xml:space="preserve">CCIVs that are disclosing entities are subject to the continuous disclosure requirements </w:t>
            </w:r>
            <w:r>
              <w:t xml:space="preserve">for disclosing entities that are </w:t>
            </w:r>
            <w:r w:rsidRPr="00012354">
              <w:t>set out in Chapter 6CA of the Act</w:t>
            </w:r>
            <w:r>
              <w:t xml:space="preserve">.  </w:t>
            </w:r>
          </w:p>
          <w:p w14:paraId="2CA34116" w14:textId="45EB7260" w:rsidR="00B60A33" w:rsidRDefault="00B60A33" w:rsidP="001F59A1">
            <w:pPr>
              <w:pStyle w:val="Tabletext"/>
            </w:pPr>
            <w:r>
              <w:t>The provisions to give effect to these positions are under development.</w:t>
            </w:r>
          </w:p>
        </w:tc>
      </w:tr>
      <w:tr w:rsidR="00B60A33" w14:paraId="04C3659D" w14:textId="77777777" w:rsidTr="00B60A33">
        <w:trPr>
          <w:cantSplit/>
          <w:trHeight w:val="1745"/>
        </w:trPr>
        <w:tc>
          <w:tcPr>
            <w:tcW w:w="4077" w:type="dxa"/>
            <w:tcBorders>
              <w:bottom w:val="nil"/>
            </w:tcBorders>
          </w:tcPr>
          <w:p w14:paraId="632499C8" w14:textId="4F542BB4" w:rsidR="00B60A33" w:rsidRDefault="00B60A33" w:rsidP="0032343F">
            <w:pPr>
              <w:pStyle w:val="Tabletextindent"/>
            </w:pPr>
            <w:r>
              <w:t>Continuous disclosure obligations</w:t>
            </w:r>
          </w:p>
        </w:tc>
        <w:tc>
          <w:tcPr>
            <w:tcW w:w="1494" w:type="dxa"/>
            <w:gridSpan w:val="2"/>
            <w:tcBorders>
              <w:bottom w:val="nil"/>
            </w:tcBorders>
          </w:tcPr>
          <w:p w14:paraId="0E2C7357" w14:textId="1D64532A" w:rsidR="00B60A33" w:rsidRDefault="00B60A33" w:rsidP="0032343F">
            <w:pPr>
              <w:pStyle w:val="Tabletext"/>
            </w:pPr>
            <w:r>
              <w:t>N/A</w:t>
            </w:r>
          </w:p>
        </w:tc>
        <w:tc>
          <w:tcPr>
            <w:tcW w:w="4179" w:type="dxa"/>
            <w:vMerge/>
            <w:tcBorders>
              <w:bottom w:val="nil"/>
            </w:tcBorders>
          </w:tcPr>
          <w:p w14:paraId="5A518760" w14:textId="77777777" w:rsidR="00B60A33" w:rsidRPr="00C842D5" w:rsidRDefault="00B60A33" w:rsidP="001F59A1">
            <w:pPr>
              <w:pStyle w:val="Tabletext"/>
            </w:pPr>
          </w:p>
        </w:tc>
      </w:tr>
      <w:tr w:rsidR="00C842D5" w14:paraId="6418D3C5" w14:textId="77777777" w:rsidTr="00400F30">
        <w:trPr>
          <w:cantSplit/>
          <w:trHeight w:val="93"/>
        </w:trPr>
        <w:tc>
          <w:tcPr>
            <w:tcW w:w="5571" w:type="dxa"/>
            <w:gridSpan w:val="3"/>
          </w:tcPr>
          <w:p w14:paraId="59EA646A" w14:textId="34D7C3AB" w:rsidR="00C842D5" w:rsidRDefault="00C842D5" w:rsidP="00734D2F">
            <w:pPr>
              <w:pStyle w:val="Tabletext"/>
            </w:pPr>
            <w:r>
              <w:rPr>
                <w:b/>
              </w:rPr>
              <w:t>Financial services and the AFSL regime</w:t>
            </w:r>
          </w:p>
        </w:tc>
        <w:tc>
          <w:tcPr>
            <w:tcW w:w="4179" w:type="dxa"/>
            <w:vMerge w:val="restart"/>
            <w:shd w:val="clear" w:color="auto" w:fill="auto"/>
          </w:tcPr>
          <w:p w14:paraId="101B2182" w14:textId="2A261E7B" w:rsidR="00C842D5" w:rsidRDefault="00C842D5" w:rsidP="00734D2F">
            <w:pPr>
              <w:pStyle w:val="Tabletext"/>
            </w:pPr>
            <w:r w:rsidRPr="00574209">
              <w:t xml:space="preserve">The new law modifies Chapter 7 to ensure that the </w:t>
            </w:r>
            <w:r>
              <w:t xml:space="preserve">treatment of financial services and the </w:t>
            </w:r>
            <w:r w:rsidRPr="00574209">
              <w:t>AFSL regime appl</w:t>
            </w:r>
            <w:r>
              <w:t>ies</w:t>
            </w:r>
            <w:r w:rsidRPr="00574209">
              <w:t xml:space="preserve"> appropriately to CCIVs and corporate directors. </w:t>
            </w:r>
          </w:p>
          <w:p w14:paraId="06B846A8" w14:textId="77777777" w:rsidR="00B654A9" w:rsidRDefault="00C842D5" w:rsidP="00734D2F">
            <w:pPr>
              <w:pStyle w:val="Tabletext"/>
            </w:pPr>
            <w:r w:rsidRPr="00574209">
              <w:t xml:space="preserve">For the purposes of Chapter 7 of the Act, any action undertaken by a CCIV relating to a financial service or financial services business is deemed to also be undertaken by its corporate director. </w:t>
            </w:r>
          </w:p>
          <w:p w14:paraId="7BE13A63" w14:textId="667B3C99" w:rsidR="00C842D5" w:rsidRDefault="00C842D5" w:rsidP="00734D2F">
            <w:pPr>
              <w:pStyle w:val="Tabletext"/>
            </w:pPr>
            <w:r w:rsidRPr="00574209">
              <w:t xml:space="preserve">This ensures that a corporate director is required to hold an AFSL for the financial services provided in relation to the CCIV. A CCIV </w:t>
            </w:r>
            <w:r>
              <w:t>is</w:t>
            </w:r>
            <w:r w:rsidRPr="00574209">
              <w:t xml:space="preserve"> always exempt from the requirement to hold an AFSL.</w:t>
            </w:r>
          </w:p>
          <w:p w14:paraId="1B203482" w14:textId="77777777" w:rsidR="00B654A9" w:rsidRDefault="00C842D5" w:rsidP="00734D2F">
            <w:pPr>
              <w:pStyle w:val="Tabletext"/>
            </w:pPr>
            <w:r>
              <w:t>A</w:t>
            </w:r>
            <w:r w:rsidRPr="004A5C0A">
              <w:t xml:space="preserve"> corporate director is required to hold an AFSL that authorises it to provide the financial service of </w:t>
            </w:r>
            <w:r>
              <w:t>‘</w:t>
            </w:r>
            <w:r w:rsidRPr="004A5C0A">
              <w:t>operating the business and conducting the affairs of the CCIV</w:t>
            </w:r>
            <w:r>
              <w:t>’</w:t>
            </w:r>
            <w:r w:rsidRPr="004A5C0A">
              <w:t xml:space="preserve">. </w:t>
            </w:r>
          </w:p>
          <w:p w14:paraId="0A89D0B8" w14:textId="3D8B1DDE" w:rsidR="00C842D5" w:rsidRPr="00FC5CFB" w:rsidRDefault="00C842D5" w:rsidP="00734D2F">
            <w:pPr>
              <w:pStyle w:val="Tabletext"/>
            </w:pPr>
            <w:r w:rsidRPr="004A5C0A">
              <w:t xml:space="preserve">Modifications apply to Part 7.6 (concerning licensing of providers of financial services) </w:t>
            </w:r>
            <w:r>
              <w:t xml:space="preserve">so </w:t>
            </w:r>
            <w:r w:rsidRPr="004A5C0A">
              <w:t>that the AFSL regime applies appropriately in the context of CCIVs.</w:t>
            </w:r>
          </w:p>
        </w:tc>
      </w:tr>
      <w:tr w:rsidR="00C842D5" w14:paraId="18B9AB1A" w14:textId="77777777" w:rsidTr="00400F30">
        <w:trPr>
          <w:cantSplit/>
          <w:trHeight w:val="93"/>
        </w:trPr>
        <w:tc>
          <w:tcPr>
            <w:tcW w:w="4077" w:type="dxa"/>
          </w:tcPr>
          <w:p w14:paraId="27811DDC" w14:textId="21956072" w:rsidR="00C842D5" w:rsidRDefault="00C842D5" w:rsidP="0032343F">
            <w:pPr>
              <w:pStyle w:val="Tabletextindent"/>
            </w:pPr>
            <w:r>
              <w:t xml:space="preserve">Treatment of financial services provided by the CCIV </w:t>
            </w:r>
          </w:p>
        </w:tc>
        <w:tc>
          <w:tcPr>
            <w:tcW w:w="1494" w:type="dxa"/>
            <w:gridSpan w:val="2"/>
          </w:tcPr>
          <w:p w14:paraId="1F634CFA" w14:textId="7BA39758" w:rsidR="00C842D5" w:rsidRDefault="00CC3D2C" w:rsidP="0032343F">
            <w:pPr>
              <w:pStyle w:val="Tabletext"/>
            </w:pPr>
            <w:r>
              <w:t xml:space="preserve">1250; </w:t>
            </w:r>
            <w:r w:rsidR="00C842D5">
              <w:t>1250A</w:t>
            </w:r>
          </w:p>
        </w:tc>
        <w:tc>
          <w:tcPr>
            <w:tcW w:w="4179" w:type="dxa"/>
            <w:vMerge/>
            <w:shd w:val="clear" w:color="auto" w:fill="auto"/>
          </w:tcPr>
          <w:p w14:paraId="3F8CD44F" w14:textId="77777777" w:rsidR="00C842D5" w:rsidRPr="00FC5CFB" w:rsidRDefault="00C842D5" w:rsidP="00734D2F">
            <w:pPr>
              <w:pStyle w:val="Tabletext"/>
            </w:pPr>
          </w:p>
        </w:tc>
      </w:tr>
      <w:tr w:rsidR="00C842D5" w14:paraId="3EE96F99" w14:textId="77777777" w:rsidTr="00400F30">
        <w:trPr>
          <w:cantSplit/>
          <w:trHeight w:val="93"/>
        </w:trPr>
        <w:tc>
          <w:tcPr>
            <w:tcW w:w="4077" w:type="dxa"/>
          </w:tcPr>
          <w:p w14:paraId="1DACB809" w14:textId="0B82C7EA" w:rsidR="00C842D5" w:rsidRPr="00814F30" w:rsidDel="00976B88" w:rsidRDefault="00C842D5" w:rsidP="0032343F">
            <w:pPr>
              <w:pStyle w:val="Tabletextindent"/>
              <w:rPr>
                <w:lang w:val="en-US"/>
              </w:rPr>
            </w:pPr>
            <w:r>
              <w:rPr>
                <w:lang w:val="en-US"/>
              </w:rPr>
              <w:t>A CCIV is not required to hold an AFSL</w:t>
            </w:r>
          </w:p>
        </w:tc>
        <w:tc>
          <w:tcPr>
            <w:tcW w:w="1494" w:type="dxa"/>
            <w:gridSpan w:val="2"/>
          </w:tcPr>
          <w:p w14:paraId="061CF6BB" w14:textId="578B066F" w:rsidR="00C842D5" w:rsidRDefault="00C842D5" w:rsidP="0032343F">
            <w:pPr>
              <w:pStyle w:val="Tabletext"/>
            </w:pPr>
            <w:r>
              <w:t>1250B</w:t>
            </w:r>
          </w:p>
        </w:tc>
        <w:tc>
          <w:tcPr>
            <w:tcW w:w="4179" w:type="dxa"/>
            <w:vMerge/>
            <w:shd w:val="clear" w:color="auto" w:fill="auto"/>
          </w:tcPr>
          <w:p w14:paraId="20322606" w14:textId="77777777" w:rsidR="00C842D5" w:rsidRPr="00FC5CFB" w:rsidRDefault="00C842D5" w:rsidP="00734D2F">
            <w:pPr>
              <w:pStyle w:val="Tabletext"/>
            </w:pPr>
          </w:p>
        </w:tc>
      </w:tr>
      <w:tr w:rsidR="00C842D5" w14:paraId="0AAA38DF" w14:textId="77777777" w:rsidTr="00400F30">
        <w:trPr>
          <w:cantSplit/>
          <w:trHeight w:val="93"/>
        </w:trPr>
        <w:tc>
          <w:tcPr>
            <w:tcW w:w="4077" w:type="dxa"/>
          </w:tcPr>
          <w:p w14:paraId="25E5B41A" w14:textId="4BBE1DD3" w:rsidR="00C842D5" w:rsidRDefault="00C842D5" w:rsidP="0032343F">
            <w:pPr>
              <w:pStyle w:val="Tabletextindent"/>
            </w:pPr>
            <w:r>
              <w:t>New financial services that relate to the CCIV</w:t>
            </w:r>
          </w:p>
        </w:tc>
        <w:tc>
          <w:tcPr>
            <w:tcW w:w="1494" w:type="dxa"/>
            <w:gridSpan w:val="2"/>
          </w:tcPr>
          <w:p w14:paraId="783B1100" w14:textId="1F7E4F8A" w:rsidR="00C842D5" w:rsidRDefault="00C842D5" w:rsidP="0032343F">
            <w:pPr>
              <w:pStyle w:val="Tabletext"/>
            </w:pPr>
            <w:r>
              <w:t>1250C</w:t>
            </w:r>
          </w:p>
        </w:tc>
        <w:tc>
          <w:tcPr>
            <w:tcW w:w="4179" w:type="dxa"/>
            <w:vMerge/>
            <w:shd w:val="clear" w:color="auto" w:fill="auto"/>
          </w:tcPr>
          <w:p w14:paraId="0D0818C0" w14:textId="77777777" w:rsidR="00C842D5" w:rsidRPr="00FC5CFB" w:rsidRDefault="00C842D5" w:rsidP="00734D2F">
            <w:pPr>
              <w:pStyle w:val="Tabletext"/>
            </w:pPr>
          </w:p>
        </w:tc>
      </w:tr>
      <w:tr w:rsidR="00C842D5" w14:paraId="276AA4B0" w14:textId="77777777" w:rsidTr="00400F30">
        <w:trPr>
          <w:cantSplit/>
          <w:trHeight w:val="93"/>
        </w:trPr>
        <w:tc>
          <w:tcPr>
            <w:tcW w:w="4077" w:type="dxa"/>
          </w:tcPr>
          <w:p w14:paraId="3F54828D" w14:textId="38A4A5ED" w:rsidR="00C842D5" w:rsidRDefault="00C842D5" w:rsidP="0032343F">
            <w:pPr>
              <w:pStyle w:val="Tabletextindent"/>
            </w:pPr>
            <w:r>
              <w:t>CCIVs do not make a market or provide custodial or depository services</w:t>
            </w:r>
            <w:r w:rsidDel="00E717B1">
              <w:rPr>
                <w:lang w:val="en-US"/>
              </w:rPr>
              <w:t xml:space="preserve"> </w:t>
            </w:r>
          </w:p>
        </w:tc>
        <w:tc>
          <w:tcPr>
            <w:tcW w:w="1494" w:type="dxa"/>
            <w:gridSpan w:val="2"/>
          </w:tcPr>
          <w:p w14:paraId="28213643" w14:textId="5983CA14" w:rsidR="00C842D5" w:rsidRDefault="00C842D5" w:rsidP="0032343F">
            <w:pPr>
              <w:pStyle w:val="Tabletext"/>
            </w:pPr>
            <w:r>
              <w:t>1250D</w:t>
            </w:r>
            <w:r w:rsidR="00CC3D2C">
              <w:t xml:space="preserve"> </w:t>
            </w:r>
            <w:r>
              <w:t>–</w:t>
            </w:r>
            <w:r w:rsidR="00CC3D2C">
              <w:t xml:space="preserve"> </w:t>
            </w:r>
            <w:r>
              <w:t>1250E</w:t>
            </w:r>
            <w:r w:rsidDel="008C6A66">
              <w:t xml:space="preserve"> </w:t>
            </w:r>
          </w:p>
        </w:tc>
        <w:tc>
          <w:tcPr>
            <w:tcW w:w="4179" w:type="dxa"/>
            <w:vMerge/>
            <w:shd w:val="clear" w:color="auto" w:fill="auto"/>
          </w:tcPr>
          <w:p w14:paraId="1D2B766B" w14:textId="77777777" w:rsidR="00C842D5" w:rsidRPr="00FC5CFB" w:rsidRDefault="00C842D5" w:rsidP="00734D2F">
            <w:pPr>
              <w:pStyle w:val="Tabletext"/>
            </w:pPr>
          </w:p>
        </w:tc>
      </w:tr>
      <w:tr w:rsidR="00C842D5" w14:paraId="14CA3948" w14:textId="77777777" w:rsidTr="00400F30">
        <w:trPr>
          <w:cantSplit/>
          <w:trHeight w:val="93"/>
        </w:trPr>
        <w:tc>
          <w:tcPr>
            <w:tcW w:w="4077" w:type="dxa"/>
          </w:tcPr>
          <w:p w14:paraId="413CC828" w14:textId="3928E56E" w:rsidR="00C842D5" w:rsidRPr="00814F30" w:rsidRDefault="00C842D5" w:rsidP="0032343F">
            <w:pPr>
              <w:pStyle w:val="Tabletextindent"/>
              <w:rPr>
                <w:lang w:val="en-US"/>
              </w:rPr>
            </w:pPr>
            <w:r>
              <w:rPr>
                <w:lang w:val="en-US"/>
              </w:rPr>
              <w:t>How the AFSL regime applies to CCIVs</w:t>
            </w:r>
          </w:p>
        </w:tc>
        <w:tc>
          <w:tcPr>
            <w:tcW w:w="1494" w:type="dxa"/>
            <w:gridSpan w:val="2"/>
          </w:tcPr>
          <w:p w14:paraId="53D786AA" w14:textId="58941DCE" w:rsidR="00C842D5" w:rsidRDefault="00C842D5" w:rsidP="0032343F">
            <w:pPr>
              <w:pStyle w:val="Tabletext"/>
            </w:pPr>
            <w:r>
              <w:t>1250G</w:t>
            </w:r>
            <w:r w:rsidR="00CC3D2C">
              <w:t xml:space="preserve"> – </w:t>
            </w:r>
            <w:r>
              <w:t>1250K</w:t>
            </w:r>
          </w:p>
        </w:tc>
        <w:tc>
          <w:tcPr>
            <w:tcW w:w="4179" w:type="dxa"/>
            <w:vMerge/>
            <w:shd w:val="clear" w:color="auto" w:fill="auto"/>
          </w:tcPr>
          <w:p w14:paraId="0E560353" w14:textId="77777777" w:rsidR="00C842D5" w:rsidRPr="00FC5CFB" w:rsidRDefault="00C842D5" w:rsidP="00734D2F">
            <w:pPr>
              <w:pStyle w:val="Tabletext"/>
            </w:pPr>
          </w:p>
        </w:tc>
      </w:tr>
      <w:tr w:rsidR="00C842D5" w14:paraId="3C55CE7F" w14:textId="77777777" w:rsidTr="00400F30">
        <w:trPr>
          <w:cantSplit/>
          <w:trHeight w:val="93"/>
        </w:trPr>
        <w:tc>
          <w:tcPr>
            <w:tcW w:w="4077" w:type="dxa"/>
          </w:tcPr>
          <w:p w14:paraId="2D04467D" w14:textId="1F89CC35" w:rsidR="00C842D5" w:rsidRDefault="00C842D5" w:rsidP="0032343F">
            <w:pPr>
              <w:pStyle w:val="Tabletextindent"/>
              <w:rPr>
                <w:lang w:val="en-US"/>
              </w:rPr>
            </w:pPr>
            <w:r>
              <w:rPr>
                <w:lang w:val="en-US"/>
              </w:rPr>
              <w:t>Record keeping requirements for the CD as an AFSL holder</w:t>
            </w:r>
          </w:p>
        </w:tc>
        <w:tc>
          <w:tcPr>
            <w:tcW w:w="1494" w:type="dxa"/>
            <w:gridSpan w:val="2"/>
          </w:tcPr>
          <w:p w14:paraId="18110041" w14:textId="74CE0B06" w:rsidR="00C842D5" w:rsidRDefault="00C842D5" w:rsidP="0032343F">
            <w:pPr>
              <w:pStyle w:val="Tabletext"/>
            </w:pPr>
            <w:r>
              <w:t>1250M</w:t>
            </w:r>
          </w:p>
        </w:tc>
        <w:tc>
          <w:tcPr>
            <w:tcW w:w="4179" w:type="dxa"/>
            <w:vMerge/>
            <w:shd w:val="clear" w:color="auto" w:fill="auto"/>
          </w:tcPr>
          <w:p w14:paraId="5F438518" w14:textId="77777777" w:rsidR="00C842D5" w:rsidRPr="00FC5CFB" w:rsidRDefault="00C842D5" w:rsidP="00734D2F">
            <w:pPr>
              <w:pStyle w:val="Tabletext"/>
            </w:pPr>
          </w:p>
        </w:tc>
      </w:tr>
      <w:tr w:rsidR="00C842D5" w14:paraId="505C9394" w14:textId="77777777" w:rsidTr="00400F30">
        <w:trPr>
          <w:cantSplit/>
          <w:trHeight w:val="93"/>
        </w:trPr>
        <w:tc>
          <w:tcPr>
            <w:tcW w:w="5571" w:type="dxa"/>
            <w:gridSpan w:val="3"/>
          </w:tcPr>
          <w:p w14:paraId="1E5C7BE3" w14:textId="4A59DF08" w:rsidR="00C842D5" w:rsidRDefault="00C842D5" w:rsidP="00734D2F">
            <w:pPr>
              <w:pStyle w:val="Tabletext"/>
            </w:pPr>
            <w:r w:rsidRPr="007B6561">
              <w:rPr>
                <w:b/>
              </w:rPr>
              <w:t>Disclosure obligations</w:t>
            </w:r>
          </w:p>
        </w:tc>
        <w:tc>
          <w:tcPr>
            <w:tcW w:w="4179" w:type="dxa"/>
            <w:vMerge w:val="restart"/>
            <w:shd w:val="clear" w:color="auto" w:fill="auto"/>
          </w:tcPr>
          <w:p w14:paraId="1F286D57" w14:textId="0210E665" w:rsidR="00C842D5" w:rsidRDefault="00C842D5" w:rsidP="00734D2F">
            <w:pPr>
              <w:pStyle w:val="Tabletext"/>
            </w:pPr>
            <w:r>
              <w:t xml:space="preserve">Consistent with the disclosure requirements for interests in registered schemes, securities in a CCIV are subject to the Product Disclosure Statement (PDS) regime </w:t>
            </w:r>
            <w:r>
              <w:lastRenderedPageBreak/>
              <w:t>instead of the disclosure requirements under Chapter 6D. A CCIV is required to provide a PDS to retail clients who acquire a security in the CCIV.</w:t>
            </w:r>
          </w:p>
          <w:p w14:paraId="5D097F11" w14:textId="02D35FDA" w:rsidR="00C842D5" w:rsidRPr="00FC5CFB" w:rsidRDefault="00C842D5" w:rsidP="00734D2F">
            <w:pPr>
              <w:pStyle w:val="Tabletext"/>
            </w:pPr>
            <w:r>
              <w:t>The provisions that relate to the content and other requirements of a PDS are modified to apply appropriately to securities in a CCIV.</w:t>
            </w:r>
          </w:p>
        </w:tc>
      </w:tr>
      <w:tr w:rsidR="00C842D5" w14:paraId="2F6D3703" w14:textId="77777777" w:rsidTr="00400F30">
        <w:trPr>
          <w:cantSplit/>
          <w:trHeight w:val="93"/>
        </w:trPr>
        <w:tc>
          <w:tcPr>
            <w:tcW w:w="4077" w:type="dxa"/>
          </w:tcPr>
          <w:p w14:paraId="2C65219B" w14:textId="409DDA7A" w:rsidR="00C842D5" w:rsidRDefault="00C842D5" w:rsidP="00734D2F">
            <w:pPr>
              <w:pStyle w:val="Tabletextindent"/>
            </w:pPr>
            <w:r>
              <w:t>Financial services disclosure does not apply to operating the business and conducting the affairs of CCIVs</w:t>
            </w:r>
          </w:p>
        </w:tc>
        <w:tc>
          <w:tcPr>
            <w:tcW w:w="1494" w:type="dxa"/>
            <w:gridSpan w:val="2"/>
          </w:tcPr>
          <w:p w14:paraId="3EC6FD11" w14:textId="4544806D" w:rsidR="00C842D5" w:rsidRDefault="00C842D5" w:rsidP="00734D2F">
            <w:pPr>
              <w:pStyle w:val="Tabletext"/>
            </w:pPr>
            <w:r>
              <w:t>1250L</w:t>
            </w:r>
          </w:p>
        </w:tc>
        <w:tc>
          <w:tcPr>
            <w:tcW w:w="4179" w:type="dxa"/>
            <w:vMerge/>
            <w:shd w:val="clear" w:color="auto" w:fill="auto"/>
          </w:tcPr>
          <w:p w14:paraId="72E75322" w14:textId="77777777" w:rsidR="00C842D5" w:rsidRPr="00FC5CFB" w:rsidRDefault="00C842D5" w:rsidP="00734D2F">
            <w:pPr>
              <w:pStyle w:val="Tabletext"/>
            </w:pPr>
          </w:p>
        </w:tc>
      </w:tr>
      <w:tr w:rsidR="00C842D5" w14:paraId="201765FE" w14:textId="77777777" w:rsidTr="00400F30">
        <w:trPr>
          <w:cantSplit/>
          <w:trHeight w:val="93"/>
        </w:trPr>
        <w:tc>
          <w:tcPr>
            <w:tcW w:w="4077" w:type="dxa"/>
          </w:tcPr>
          <w:p w14:paraId="0A967DE5" w14:textId="64CF6DA9" w:rsidR="00C842D5" w:rsidRDefault="00C842D5" w:rsidP="00734D2F">
            <w:pPr>
              <w:pStyle w:val="Tabletextindent"/>
            </w:pPr>
            <w:r>
              <w:lastRenderedPageBreak/>
              <w:t>Application of the PDS regime to shares in a CCIV</w:t>
            </w:r>
          </w:p>
        </w:tc>
        <w:tc>
          <w:tcPr>
            <w:tcW w:w="1494" w:type="dxa"/>
            <w:gridSpan w:val="2"/>
          </w:tcPr>
          <w:p w14:paraId="4A686799" w14:textId="2B0B0397" w:rsidR="00C842D5" w:rsidRDefault="00C842D5" w:rsidP="00734D2F">
            <w:pPr>
              <w:pStyle w:val="Tabletext"/>
            </w:pPr>
            <w:r>
              <w:t>1250P – 1250X</w:t>
            </w:r>
          </w:p>
        </w:tc>
        <w:tc>
          <w:tcPr>
            <w:tcW w:w="4179" w:type="dxa"/>
            <w:vMerge/>
            <w:shd w:val="clear" w:color="auto" w:fill="auto"/>
          </w:tcPr>
          <w:p w14:paraId="225B3545" w14:textId="77777777" w:rsidR="00C842D5" w:rsidRPr="00FC5CFB" w:rsidRDefault="00C842D5" w:rsidP="00734D2F">
            <w:pPr>
              <w:pStyle w:val="Tabletext"/>
            </w:pPr>
          </w:p>
        </w:tc>
      </w:tr>
      <w:tr w:rsidR="00C842D5" w14:paraId="623310B6" w14:textId="77777777" w:rsidTr="00400F30">
        <w:trPr>
          <w:cantSplit/>
          <w:trHeight w:val="93"/>
        </w:trPr>
        <w:tc>
          <w:tcPr>
            <w:tcW w:w="5571" w:type="dxa"/>
            <w:gridSpan w:val="3"/>
          </w:tcPr>
          <w:p w14:paraId="7AA9933C" w14:textId="3071F909" w:rsidR="00C842D5" w:rsidRDefault="00C842D5" w:rsidP="0032343F">
            <w:pPr>
              <w:pStyle w:val="Tabletext"/>
            </w:pPr>
            <w:r>
              <w:rPr>
                <w:b/>
              </w:rPr>
              <w:lastRenderedPageBreak/>
              <w:t>C</w:t>
            </w:r>
            <w:r w:rsidRPr="0067127C">
              <w:rPr>
                <w:b/>
              </w:rPr>
              <w:t xml:space="preserve">onsumer protections </w:t>
            </w:r>
            <w:r>
              <w:rPr>
                <w:b/>
              </w:rPr>
              <w:t>and prohibited conduct</w:t>
            </w:r>
          </w:p>
        </w:tc>
        <w:tc>
          <w:tcPr>
            <w:tcW w:w="4179" w:type="dxa"/>
            <w:vMerge w:val="restart"/>
            <w:shd w:val="clear" w:color="auto" w:fill="auto"/>
          </w:tcPr>
          <w:p w14:paraId="1D6E5B83" w14:textId="7E4E40A9" w:rsidR="00C842D5" w:rsidRDefault="00C842D5" w:rsidP="0032343F">
            <w:pPr>
              <w:pStyle w:val="Tabletext"/>
            </w:pPr>
            <w:r>
              <w:t xml:space="preserve">Consumer protections available for registered schemes are adapted to deal with the unique structure of CCIVs. </w:t>
            </w:r>
          </w:p>
          <w:p w14:paraId="56825CE8" w14:textId="11331387" w:rsidR="00C842D5" w:rsidRPr="00FC5CFB" w:rsidRDefault="00C842D5" w:rsidP="0032343F">
            <w:pPr>
              <w:pStyle w:val="Tabletext"/>
            </w:pPr>
            <w:r>
              <w:t>In addition, the insider trading provisions are adapted to apply appropriately to CCIVs</w:t>
            </w:r>
            <w:r w:rsidR="00E4282B">
              <w:t>.</w:t>
            </w:r>
          </w:p>
        </w:tc>
      </w:tr>
      <w:tr w:rsidR="00C842D5" w14:paraId="57BC137A" w14:textId="77777777" w:rsidTr="00400F30">
        <w:trPr>
          <w:cantSplit/>
          <w:trHeight w:val="93"/>
        </w:trPr>
        <w:tc>
          <w:tcPr>
            <w:tcW w:w="4077" w:type="dxa"/>
          </w:tcPr>
          <w:p w14:paraId="5C150D8D" w14:textId="77777777" w:rsidR="00C842D5" w:rsidRDefault="00C842D5" w:rsidP="0032343F">
            <w:pPr>
              <w:pStyle w:val="Tabletextindent"/>
            </w:pPr>
            <w:r>
              <w:t>Prohibition on hawking of securities in a CCIV</w:t>
            </w:r>
          </w:p>
        </w:tc>
        <w:tc>
          <w:tcPr>
            <w:tcW w:w="1494" w:type="dxa"/>
            <w:gridSpan w:val="2"/>
          </w:tcPr>
          <w:p w14:paraId="2EB5C898" w14:textId="77777777" w:rsidR="00C842D5" w:rsidRDefault="00C842D5" w:rsidP="0032343F">
            <w:pPr>
              <w:pStyle w:val="Tabletext"/>
            </w:pPr>
            <w:r>
              <w:t>1250N</w:t>
            </w:r>
          </w:p>
        </w:tc>
        <w:tc>
          <w:tcPr>
            <w:tcW w:w="4179" w:type="dxa"/>
            <w:vMerge/>
            <w:shd w:val="clear" w:color="auto" w:fill="auto"/>
          </w:tcPr>
          <w:p w14:paraId="0EDD380D" w14:textId="77777777" w:rsidR="00C842D5" w:rsidRPr="00FC5CFB" w:rsidRDefault="00C842D5" w:rsidP="00734D2F">
            <w:pPr>
              <w:pStyle w:val="Tabletext"/>
            </w:pPr>
          </w:p>
        </w:tc>
      </w:tr>
      <w:tr w:rsidR="00C842D5" w14:paraId="66644821" w14:textId="77777777" w:rsidTr="00400F30">
        <w:trPr>
          <w:cantSplit/>
          <w:trHeight w:val="93"/>
        </w:trPr>
        <w:tc>
          <w:tcPr>
            <w:tcW w:w="4077" w:type="dxa"/>
          </w:tcPr>
          <w:p w14:paraId="65441778" w14:textId="77777777" w:rsidR="00C842D5" w:rsidRDefault="00C842D5" w:rsidP="0032343F">
            <w:pPr>
              <w:pStyle w:val="Tabletextindent"/>
            </w:pPr>
            <w:r>
              <w:t>Cooling-off periods</w:t>
            </w:r>
          </w:p>
        </w:tc>
        <w:tc>
          <w:tcPr>
            <w:tcW w:w="1494" w:type="dxa"/>
            <w:gridSpan w:val="2"/>
          </w:tcPr>
          <w:p w14:paraId="004542DF" w14:textId="77777777" w:rsidR="00C842D5" w:rsidRDefault="00C842D5" w:rsidP="0032343F">
            <w:pPr>
              <w:pStyle w:val="Tabletext"/>
            </w:pPr>
            <w:r>
              <w:t>1250X</w:t>
            </w:r>
          </w:p>
        </w:tc>
        <w:tc>
          <w:tcPr>
            <w:tcW w:w="4179" w:type="dxa"/>
            <w:vMerge/>
            <w:shd w:val="clear" w:color="auto" w:fill="auto"/>
          </w:tcPr>
          <w:p w14:paraId="7C23042E" w14:textId="77777777" w:rsidR="00C842D5" w:rsidRPr="00FC5CFB" w:rsidRDefault="00C842D5" w:rsidP="00734D2F">
            <w:pPr>
              <w:pStyle w:val="Tabletext"/>
            </w:pPr>
          </w:p>
        </w:tc>
      </w:tr>
      <w:tr w:rsidR="00C842D5" w14:paraId="437A6FCF" w14:textId="77777777" w:rsidTr="00400F30">
        <w:trPr>
          <w:cantSplit/>
          <w:trHeight w:val="93"/>
        </w:trPr>
        <w:tc>
          <w:tcPr>
            <w:tcW w:w="4077" w:type="dxa"/>
          </w:tcPr>
          <w:p w14:paraId="303005F6" w14:textId="1B139E77" w:rsidR="00C842D5" w:rsidRDefault="00C842D5" w:rsidP="0032343F">
            <w:pPr>
              <w:pStyle w:val="Tabletextindent"/>
            </w:pPr>
            <w:r>
              <w:t>Unsolicited offers to purchase securities in CCIVs</w:t>
            </w:r>
          </w:p>
        </w:tc>
        <w:tc>
          <w:tcPr>
            <w:tcW w:w="1494" w:type="dxa"/>
            <w:gridSpan w:val="2"/>
          </w:tcPr>
          <w:p w14:paraId="3D617E64" w14:textId="77777777" w:rsidR="00C842D5" w:rsidRDefault="00C842D5" w:rsidP="0032343F">
            <w:pPr>
              <w:pStyle w:val="Tabletext"/>
            </w:pPr>
            <w:r>
              <w:t>1250Y</w:t>
            </w:r>
          </w:p>
        </w:tc>
        <w:tc>
          <w:tcPr>
            <w:tcW w:w="4179" w:type="dxa"/>
            <w:vMerge/>
            <w:shd w:val="clear" w:color="auto" w:fill="auto"/>
          </w:tcPr>
          <w:p w14:paraId="603A9BDE" w14:textId="77777777" w:rsidR="00C842D5" w:rsidRPr="00FC5CFB" w:rsidRDefault="00C842D5" w:rsidP="00734D2F">
            <w:pPr>
              <w:pStyle w:val="Tabletext"/>
            </w:pPr>
          </w:p>
        </w:tc>
      </w:tr>
      <w:tr w:rsidR="00C842D5" w14:paraId="577F020F" w14:textId="77777777" w:rsidTr="00400F30">
        <w:trPr>
          <w:cantSplit/>
          <w:trHeight w:val="433"/>
        </w:trPr>
        <w:tc>
          <w:tcPr>
            <w:tcW w:w="4077" w:type="dxa"/>
          </w:tcPr>
          <w:p w14:paraId="755460E9" w14:textId="4B9E2D2B" w:rsidR="00C842D5" w:rsidRDefault="00C842D5" w:rsidP="0032343F">
            <w:pPr>
              <w:pStyle w:val="Tabletextindent"/>
            </w:pPr>
            <w:r>
              <w:t>Application of the prohibition on insider trading</w:t>
            </w:r>
          </w:p>
        </w:tc>
        <w:tc>
          <w:tcPr>
            <w:tcW w:w="1494" w:type="dxa"/>
            <w:gridSpan w:val="2"/>
          </w:tcPr>
          <w:p w14:paraId="4116C826" w14:textId="5646324E" w:rsidR="00C842D5" w:rsidRDefault="00C842D5" w:rsidP="0032343F">
            <w:pPr>
              <w:pStyle w:val="Tabletext"/>
            </w:pPr>
            <w:r>
              <w:t>1250Z</w:t>
            </w:r>
          </w:p>
        </w:tc>
        <w:tc>
          <w:tcPr>
            <w:tcW w:w="4179" w:type="dxa"/>
            <w:vMerge/>
            <w:shd w:val="clear" w:color="auto" w:fill="auto"/>
          </w:tcPr>
          <w:p w14:paraId="22093D3D" w14:textId="509DAA61" w:rsidR="00C842D5" w:rsidRPr="00FC5CFB" w:rsidRDefault="00C842D5" w:rsidP="00734D2F">
            <w:pPr>
              <w:pStyle w:val="Tabletext"/>
            </w:pPr>
          </w:p>
        </w:tc>
      </w:tr>
      <w:tr w:rsidR="00C842D5" w14:paraId="16B2BBEB" w14:textId="77777777" w:rsidTr="0065322F">
        <w:trPr>
          <w:cantSplit/>
          <w:trHeight w:val="999"/>
        </w:trPr>
        <w:tc>
          <w:tcPr>
            <w:tcW w:w="5571" w:type="dxa"/>
            <w:gridSpan w:val="3"/>
          </w:tcPr>
          <w:p w14:paraId="361D9259" w14:textId="7609A017" w:rsidR="00C842D5" w:rsidRDefault="00C842D5" w:rsidP="0032343F">
            <w:pPr>
              <w:pStyle w:val="Tabletext"/>
            </w:pPr>
            <w:r>
              <w:rPr>
                <w:b/>
              </w:rPr>
              <w:t>Establishing a contravention of the law by a CCIV</w:t>
            </w:r>
            <w:r w:rsidR="00B5016D">
              <w:rPr>
                <w:b/>
              </w:rPr>
              <w:t xml:space="preserve"> for a provision outside Chapter 7</w:t>
            </w:r>
          </w:p>
        </w:tc>
        <w:tc>
          <w:tcPr>
            <w:tcW w:w="4179" w:type="dxa"/>
            <w:vMerge w:val="restart"/>
            <w:shd w:val="clear" w:color="auto" w:fill="auto"/>
          </w:tcPr>
          <w:p w14:paraId="7D1BD71D" w14:textId="26288EE9" w:rsidR="00C842D5" w:rsidRDefault="00C842D5" w:rsidP="0032343F">
            <w:pPr>
              <w:pStyle w:val="Tabletext"/>
            </w:pPr>
            <w:r>
              <w:t>The new law contains rules for attributing the physical and fault elements of an offence (for offences generally</w:t>
            </w:r>
            <w:r w:rsidR="00B5016D">
              <w:t>,</w:t>
            </w:r>
            <w:r>
              <w:t xml:space="preserve"> and separately </w:t>
            </w:r>
            <w:r w:rsidR="00B5016D">
              <w:t xml:space="preserve">for </w:t>
            </w:r>
            <w:r>
              <w:t xml:space="preserve">those in Chapter 7) to the CCIV. </w:t>
            </w:r>
          </w:p>
          <w:p w14:paraId="260078DE" w14:textId="06EF9E5F" w:rsidR="00C842D5" w:rsidRDefault="00C842D5" w:rsidP="0032343F">
            <w:pPr>
              <w:pStyle w:val="Tabletext"/>
            </w:pPr>
            <w:r>
              <w:t>In relation to the physical elements of offences outside Chapter 7, the acts or omissions of the corporate director’s employees, agents and office</w:t>
            </w:r>
            <w:r w:rsidR="00616D9B">
              <w:t>r</w:t>
            </w:r>
            <w:r>
              <w:t>s are attributed directly to the CCIV rather than being attributed to the corporate director. Similarly, when proving the fault elements, the corporate director’s authorisation or permission of the offence is attributed to the CCIV.</w:t>
            </w:r>
          </w:p>
          <w:p w14:paraId="27843A06" w14:textId="161BDD09" w:rsidR="00C842D5" w:rsidRPr="00FC5CFB" w:rsidRDefault="00C842D5" w:rsidP="0032343F">
            <w:pPr>
              <w:pStyle w:val="Tabletext"/>
            </w:pPr>
            <w:r>
              <w:t>Similarly, the new law contains rules for establishing a contravention of a civil penalty provision by a CCIV (for civil penalties generally</w:t>
            </w:r>
            <w:r w:rsidR="00B5016D">
              <w:t>,</w:t>
            </w:r>
            <w:r>
              <w:t xml:space="preserve"> and separately </w:t>
            </w:r>
            <w:r w:rsidR="00B5016D">
              <w:t xml:space="preserve">for </w:t>
            </w:r>
            <w:r>
              <w:t>those in Chapter 7).  An element of a civil penalty provision is attributed to a CCIV if it is done by an agent or office</w:t>
            </w:r>
            <w:r w:rsidR="00616D9B">
              <w:t>r</w:t>
            </w:r>
            <w:r>
              <w:t xml:space="preserve"> of the CCIV, or an employee, agent or officer of the </w:t>
            </w:r>
            <w:r>
              <w:lastRenderedPageBreak/>
              <w:t>corporate director (with their actual or apparent authority).</w:t>
            </w:r>
          </w:p>
        </w:tc>
      </w:tr>
      <w:tr w:rsidR="00C842D5" w14:paraId="5DE2446A" w14:textId="77777777" w:rsidTr="00400F30">
        <w:trPr>
          <w:cantSplit/>
          <w:trHeight w:val="260"/>
        </w:trPr>
        <w:tc>
          <w:tcPr>
            <w:tcW w:w="4077" w:type="dxa"/>
          </w:tcPr>
          <w:p w14:paraId="67928212" w14:textId="39E2E53E" w:rsidR="00C842D5" w:rsidRDefault="00C842D5" w:rsidP="0032343F">
            <w:pPr>
              <w:pStyle w:val="Tabletextindent"/>
            </w:pPr>
            <w:r>
              <w:t xml:space="preserve">Application of new principles </w:t>
            </w:r>
          </w:p>
        </w:tc>
        <w:tc>
          <w:tcPr>
            <w:tcW w:w="1494" w:type="dxa"/>
            <w:gridSpan w:val="2"/>
          </w:tcPr>
          <w:p w14:paraId="7A94D68F" w14:textId="5351E606" w:rsidR="00C842D5" w:rsidRDefault="00C842D5" w:rsidP="0032343F">
            <w:pPr>
              <w:pStyle w:val="Tabletext"/>
            </w:pPr>
            <w:r>
              <w:t xml:space="preserve">1267 – 1267C </w:t>
            </w:r>
          </w:p>
        </w:tc>
        <w:tc>
          <w:tcPr>
            <w:tcW w:w="4179" w:type="dxa"/>
            <w:vMerge/>
            <w:shd w:val="clear" w:color="auto" w:fill="auto"/>
          </w:tcPr>
          <w:p w14:paraId="3AF82CFA" w14:textId="26BDEC3C" w:rsidR="00C842D5" w:rsidRDefault="00C842D5" w:rsidP="00734D2F">
            <w:pPr>
              <w:pStyle w:val="Tabletext"/>
            </w:pPr>
          </w:p>
        </w:tc>
      </w:tr>
      <w:tr w:rsidR="00C842D5" w14:paraId="1923A1CF" w14:textId="77777777" w:rsidTr="00400F30">
        <w:trPr>
          <w:cantSplit/>
          <w:trHeight w:val="422"/>
        </w:trPr>
        <w:tc>
          <w:tcPr>
            <w:tcW w:w="4077" w:type="dxa"/>
          </w:tcPr>
          <w:p w14:paraId="4867703B" w14:textId="14B0E46E" w:rsidR="00C842D5" w:rsidRDefault="00C842D5" w:rsidP="0032343F">
            <w:pPr>
              <w:pStyle w:val="Tabletextindent"/>
            </w:pPr>
            <w:r>
              <w:t>Attributing the physical elements of an offence to the CCIV</w:t>
            </w:r>
          </w:p>
        </w:tc>
        <w:tc>
          <w:tcPr>
            <w:tcW w:w="1494" w:type="dxa"/>
            <w:gridSpan w:val="2"/>
          </w:tcPr>
          <w:p w14:paraId="434964B8" w14:textId="54DAD115" w:rsidR="00C842D5" w:rsidRDefault="00C842D5" w:rsidP="0032343F">
            <w:pPr>
              <w:pStyle w:val="Tabletext"/>
            </w:pPr>
            <w:r>
              <w:t>1267D</w:t>
            </w:r>
          </w:p>
        </w:tc>
        <w:tc>
          <w:tcPr>
            <w:tcW w:w="4179" w:type="dxa"/>
            <w:vMerge/>
            <w:shd w:val="clear" w:color="auto" w:fill="auto"/>
          </w:tcPr>
          <w:p w14:paraId="71A9C626" w14:textId="1CB72D74" w:rsidR="00C842D5" w:rsidRDefault="00C842D5" w:rsidP="00734D2F">
            <w:pPr>
              <w:pStyle w:val="Tabletext"/>
            </w:pPr>
          </w:p>
        </w:tc>
      </w:tr>
      <w:tr w:rsidR="00C842D5" w14:paraId="6412B6DC" w14:textId="77777777" w:rsidTr="00400F30">
        <w:trPr>
          <w:cantSplit/>
          <w:trHeight w:val="433"/>
        </w:trPr>
        <w:tc>
          <w:tcPr>
            <w:tcW w:w="4077" w:type="dxa"/>
          </w:tcPr>
          <w:p w14:paraId="1DB18F0F" w14:textId="4A45B973" w:rsidR="00C842D5" w:rsidRDefault="00C842D5" w:rsidP="0032343F">
            <w:pPr>
              <w:pStyle w:val="Tabletextindent"/>
            </w:pPr>
            <w:r>
              <w:t>Attributing fault elements of an offence other than negligence to the CCIV</w:t>
            </w:r>
          </w:p>
        </w:tc>
        <w:tc>
          <w:tcPr>
            <w:tcW w:w="1494" w:type="dxa"/>
            <w:gridSpan w:val="2"/>
          </w:tcPr>
          <w:p w14:paraId="3FC9E1E1" w14:textId="73AF7B6F" w:rsidR="00C842D5" w:rsidRDefault="00C842D5" w:rsidP="0032343F">
            <w:pPr>
              <w:pStyle w:val="Tabletext"/>
            </w:pPr>
            <w:r>
              <w:t>1267E</w:t>
            </w:r>
          </w:p>
        </w:tc>
        <w:tc>
          <w:tcPr>
            <w:tcW w:w="4179" w:type="dxa"/>
            <w:vMerge/>
            <w:shd w:val="clear" w:color="auto" w:fill="auto"/>
          </w:tcPr>
          <w:p w14:paraId="3EEB4DC1" w14:textId="283D1B83" w:rsidR="00C842D5" w:rsidRDefault="00C842D5" w:rsidP="00734D2F">
            <w:pPr>
              <w:pStyle w:val="Tabletext"/>
            </w:pPr>
          </w:p>
        </w:tc>
      </w:tr>
      <w:tr w:rsidR="00C842D5" w14:paraId="39AE985D" w14:textId="77777777" w:rsidTr="00400F30">
        <w:trPr>
          <w:cantSplit/>
          <w:trHeight w:val="249"/>
        </w:trPr>
        <w:tc>
          <w:tcPr>
            <w:tcW w:w="4077" w:type="dxa"/>
          </w:tcPr>
          <w:p w14:paraId="64D0DD64" w14:textId="31E6A7C4" w:rsidR="00C842D5" w:rsidRDefault="00C842D5" w:rsidP="0032343F">
            <w:pPr>
              <w:pStyle w:val="Tabletextindent"/>
            </w:pPr>
            <w:r>
              <w:t>Attributing negligence to the CCIV</w:t>
            </w:r>
          </w:p>
        </w:tc>
        <w:tc>
          <w:tcPr>
            <w:tcW w:w="1494" w:type="dxa"/>
            <w:gridSpan w:val="2"/>
          </w:tcPr>
          <w:p w14:paraId="3BCA2FCD" w14:textId="7B907075" w:rsidR="00C842D5" w:rsidRDefault="00C842D5" w:rsidP="0032343F">
            <w:pPr>
              <w:pStyle w:val="Tabletext"/>
            </w:pPr>
            <w:r>
              <w:t>1267F</w:t>
            </w:r>
          </w:p>
        </w:tc>
        <w:tc>
          <w:tcPr>
            <w:tcW w:w="4179" w:type="dxa"/>
            <w:vMerge/>
            <w:shd w:val="clear" w:color="auto" w:fill="auto"/>
          </w:tcPr>
          <w:p w14:paraId="5698A995" w14:textId="42DC32DC" w:rsidR="00C842D5" w:rsidRDefault="00C842D5" w:rsidP="00734D2F">
            <w:pPr>
              <w:pStyle w:val="Tabletext"/>
            </w:pPr>
          </w:p>
        </w:tc>
      </w:tr>
      <w:tr w:rsidR="00C842D5" w14:paraId="5679EA5B" w14:textId="77777777" w:rsidTr="00CA797B">
        <w:trPr>
          <w:cantSplit/>
          <w:trHeight w:val="3435"/>
        </w:trPr>
        <w:tc>
          <w:tcPr>
            <w:tcW w:w="4077" w:type="dxa"/>
          </w:tcPr>
          <w:p w14:paraId="41433DDD" w14:textId="3C203269" w:rsidR="00C842D5" w:rsidRDefault="00C842D5" w:rsidP="0032343F">
            <w:pPr>
              <w:pStyle w:val="Tabletextindent"/>
            </w:pPr>
            <w:r>
              <w:t>Application of certain defences under the Criminal Code to CCIVs</w:t>
            </w:r>
          </w:p>
        </w:tc>
        <w:tc>
          <w:tcPr>
            <w:tcW w:w="1494" w:type="dxa"/>
            <w:gridSpan w:val="2"/>
          </w:tcPr>
          <w:p w14:paraId="4BA91D74" w14:textId="3DEAC642" w:rsidR="00C842D5" w:rsidRDefault="00C842D5" w:rsidP="0032343F">
            <w:pPr>
              <w:pStyle w:val="Tabletext"/>
            </w:pPr>
            <w:r>
              <w:t>1267G; 1267H</w:t>
            </w:r>
          </w:p>
        </w:tc>
        <w:tc>
          <w:tcPr>
            <w:tcW w:w="4179" w:type="dxa"/>
            <w:vMerge/>
            <w:shd w:val="clear" w:color="auto" w:fill="auto"/>
          </w:tcPr>
          <w:p w14:paraId="31DBC0A3" w14:textId="33B89DDA" w:rsidR="00C842D5" w:rsidRDefault="00C842D5" w:rsidP="00734D2F">
            <w:pPr>
              <w:pStyle w:val="Tabletext"/>
            </w:pPr>
          </w:p>
        </w:tc>
      </w:tr>
      <w:tr w:rsidR="00C842D5" w14:paraId="4DEA60A3" w14:textId="77777777" w:rsidTr="0065322F">
        <w:trPr>
          <w:cantSplit/>
          <w:trHeight w:val="934"/>
        </w:trPr>
        <w:tc>
          <w:tcPr>
            <w:tcW w:w="4077" w:type="dxa"/>
          </w:tcPr>
          <w:p w14:paraId="5DD39E6F" w14:textId="450CC2B0" w:rsidR="00C842D5" w:rsidRDefault="00C842D5" w:rsidP="0032343F">
            <w:pPr>
              <w:pStyle w:val="Tabletextindent"/>
            </w:pPr>
            <w:r>
              <w:lastRenderedPageBreak/>
              <w:t>Attributing an element of a contravention of a civil penalty provision to a CCIV</w:t>
            </w:r>
          </w:p>
        </w:tc>
        <w:tc>
          <w:tcPr>
            <w:tcW w:w="1494" w:type="dxa"/>
            <w:gridSpan w:val="2"/>
          </w:tcPr>
          <w:p w14:paraId="1A71F0B4" w14:textId="27ABA713" w:rsidR="00C842D5" w:rsidRDefault="00C842D5" w:rsidP="00E16900">
            <w:pPr>
              <w:pStyle w:val="Tabletext"/>
            </w:pPr>
            <w:r>
              <w:t>1267</w:t>
            </w:r>
            <w:r w:rsidR="00E16900">
              <w:t xml:space="preserve">K – </w:t>
            </w:r>
            <w:r>
              <w:t>1267M</w:t>
            </w:r>
          </w:p>
        </w:tc>
        <w:tc>
          <w:tcPr>
            <w:tcW w:w="4179" w:type="dxa"/>
            <w:vMerge/>
            <w:shd w:val="clear" w:color="auto" w:fill="auto"/>
          </w:tcPr>
          <w:p w14:paraId="202BDDD8" w14:textId="0ABA6848" w:rsidR="00C842D5" w:rsidRDefault="00C842D5" w:rsidP="00734D2F">
            <w:pPr>
              <w:pStyle w:val="Tabletext"/>
            </w:pPr>
          </w:p>
        </w:tc>
      </w:tr>
      <w:tr w:rsidR="00B654A9" w14:paraId="33977732" w14:textId="77777777" w:rsidTr="00B654A9">
        <w:trPr>
          <w:cantSplit/>
          <w:trHeight w:val="560"/>
        </w:trPr>
        <w:tc>
          <w:tcPr>
            <w:tcW w:w="5571" w:type="dxa"/>
            <w:gridSpan w:val="3"/>
          </w:tcPr>
          <w:p w14:paraId="16BFCCA5" w14:textId="0CFF3691" w:rsidR="00B654A9" w:rsidRDefault="00B654A9" w:rsidP="00E16900">
            <w:pPr>
              <w:pStyle w:val="Tabletext"/>
            </w:pPr>
            <w:r>
              <w:rPr>
                <w:b/>
              </w:rPr>
              <w:lastRenderedPageBreak/>
              <w:t>Attributing conduct for the purposes of provisions in Chapter 7</w:t>
            </w:r>
          </w:p>
        </w:tc>
        <w:tc>
          <w:tcPr>
            <w:tcW w:w="4179" w:type="dxa"/>
            <w:vMerge w:val="restart"/>
            <w:shd w:val="clear" w:color="auto" w:fill="auto"/>
          </w:tcPr>
          <w:p w14:paraId="4DAA5ECD" w14:textId="77777777" w:rsidR="00B654A9" w:rsidRDefault="00B654A9" w:rsidP="00AB0B4E">
            <w:pPr>
              <w:pStyle w:val="Tabletext"/>
            </w:pPr>
            <w:r>
              <w:t xml:space="preserve">A CCIV engages in conduct where: </w:t>
            </w:r>
          </w:p>
          <w:p w14:paraId="1C03BDEF" w14:textId="6C5D15D9" w:rsidR="00B654A9" w:rsidRDefault="00B654A9" w:rsidP="00E8282E">
            <w:pPr>
              <w:pStyle w:val="Bullet"/>
            </w:pPr>
            <w:r>
              <w:t>an agent of the CCIV; or</w:t>
            </w:r>
          </w:p>
          <w:p w14:paraId="569A3D09" w14:textId="4A1C297B" w:rsidR="00B654A9" w:rsidRDefault="00B654A9">
            <w:pPr>
              <w:pStyle w:val="Bullet"/>
            </w:pPr>
            <w:r>
              <w:t>a director, employee, or agent of the corporate director</w:t>
            </w:r>
          </w:p>
          <w:p w14:paraId="7624597C" w14:textId="77777777" w:rsidR="00B654A9" w:rsidRDefault="00B654A9" w:rsidP="00AB0B4E">
            <w:pPr>
              <w:pStyle w:val="Tabletext"/>
            </w:pPr>
            <w:proofErr w:type="gramStart"/>
            <w:r>
              <w:t>engages</w:t>
            </w:r>
            <w:proofErr w:type="gramEnd"/>
            <w:r>
              <w:t xml:space="preserve"> in conduct on behalf of the CCIV and within the scope of the person’s actual or apparent authority to act for the CCIV.</w:t>
            </w:r>
          </w:p>
          <w:p w14:paraId="6B89D45E" w14:textId="77777777" w:rsidR="00B654A9" w:rsidRDefault="00B654A9" w:rsidP="005B3389">
            <w:pPr>
              <w:pStyle w:val="Tabletext"/>
            </w:pPr>
            <w:r>
              <w:t>A CCIV is taken to have a certain state of mind in relation to its conduct where:</w:t>
            </w:r>
          </w:p>
          <w:p w14:paraId="21A510C3" w14:textId="35703311" w:rsidR="00B654A9" w:rsidRDefault="00B654A9" w:rsidP="00E8282E">
            <w:pPr>
              <w:pStyle w:val="Bullet"/>
            </w:pPr>
            <w:r>
              <w:t>an agent of the CCIV; or</w:t>
            </w:r>
          </w:p>
          <w:p w14:paraId="5480D0FF" w14:textId="2C63F5C8" w:rsidR="00B654A9" w:rsidRDefault="00B654A9">
            <w:pPr>
              <w:pStyle w:val="Bullet"/>
            </w:pPr>
            <w:r>
              <w:t>a director, employee or agent of the corporate director</w:t>
            </w:r>
          </w:p>
          <w:p w14:paraId="571AA0CB" w14:textId="6CDE9D67" w:rsidR="00B654A9" w:rsidRDefault="00B654A9" w:rsidP="00734D2F">
            <w:pPr>
              <w:pStyle w:val="Tabletext"/>
            </w:pPr>
            <w:proofErr w:type="gramStart"/>
            <w:r>
              <w:t>acting</w:t>
            </w:r>
            <w:proofErr w:type="gramEnd"/>
            <w:r>
              <w:t xml:space="preserve"> for the CCIV within the person’s actual or apparent authority is shown to have that state of mind in relation to that person’s conduct.</w:t>
            </w:r>
          </w:p>
        </w:tc>
      </w:tr>
      <w:tr w:rsidR="00FD4C43" w14:paraId="648A3796" w14:textId="77777777" w:rsidTr="001463E6">
        <w:trPr>
          <w:cantSplit/>
          <w:trHeight w:val="3755"/>
        </w:trPr>
        <w:tc>
          <w:tcPr>
            <w:tcW w:w="4077" w:type="dxa"/>
          </w:tcPr>
          <w:p w14:paraId="7D15F6C9" w14:textId="71B733AC" w:rsidR="00FD4C43" w:rsidRDefault="00FD4C43" w:rsidP="0032343F">
            <w:pPr>
              <w:pStyle w:val="Tabletextindent"/>
            </w:pPr>
            <w:r>
              <w:t>When a CCIV is taken to have undertaken conduct for the purposes of provisions in Chapter 7</w:t>
            </w:r>
          </w:p>
        </w:tc>
        <w:tc>
          <w:tcPr>
            <w:tcW w:w="1494" w:type="dxa"/>
            <w:gridSpan w:val="2"/>
          </w:tcPr>
          <w:p w14:paraId="4EA977AD" w14:textId="4180186F" w:rsidR="00FD4C43" w:rsidRDefault="00FD4C43" w:rsidP="00E16900">
            <w:pPr>
              <w:pStyle w:val="Tabletext"/>
            </w:pPr>
            <w:r>
              <w:t>1250F</w:t>
            </w:r>
          </w:p>
        </w:tc>
        <w:tc>
          <w:tcPr>
            <w:tcW w:w="4179" w:type="dxa"/>
            <w:vMerge/>
            <w:shd w:val="clear" w:color="auto" w:fill="auto"/>
          </w:tcPr>
          <w:p w14:paraId="56610F06" w14:textId="007994D5" w:rsidR="00FD4C43" w:rsidRDefault="00FD4C43" w:rsidP="00734D2F">
            <w:pPr>
              <w:pStyle w:val="Tabletext"/>
            </w:pPr>
          </w:p>
        </w:tc>
      </w:tr>
      <w:tr w:rsidR="00FD4C43" w14:paraId="1FAF359A" w14:textId="77777777" w:rsidTr="00621116">
        <w:trPr>
          <w:cantSplit/>
          <w:trHeight w:val="843"/>
        </w:trPr>
        <w:tc>
          <w:tcPr>
            <w:tcW w:w="4077" w:type="dxa"/>
          </w:tcPr>
          <w:p w14:paraId="2034C198" w14:textId="052C8866" w:rsidR="00FD4C43" w:rsidRDefault="00FD4C43" w:rsidP="00AB0B4E">
            <w:pPr>
              <w:pStyle w:val="Tabletextindent"/>
            </w:pPr>
            <w:r>
              <w:t>When a CCIV is taken to have a certain state of mind for the purposes of a proceeding under Chapter 7</w:t>
            </w:r>
          </w:p>
        </w:tc>
        <w:tc>
          <w:tcPr>
            <w:tcW w:w="1494" w:type="dxa"/>
            <w:gridSpan w:val="2"/>
          </w:tcPr>
          <w:p w14:paraId="22F3B73E" w14:textId="187969C7" w:rsidR="00FD4C43" w:rsidRDefault="00FD4C43" w:rsidP="00E16900">
            <w:pPr>
              <w:pStyle w:val="Tabletext"/>
            </w:pPr>
            <w:r>
              <w:t>1250F</w:t>
            </w:r>
          </w:p>
        </w:tc>
        <w:tc>
          <w:tcPr>
            <w:tcW w:w="4179" w:type="dxa"/>
            <w:vMerge/>
            <w:shd w:val="clear" w:color="auto" w:fill="auto"/>
          </w:tcPr>
          <w:p w14:paraId="7AC982E3" w14:textId="3E8D5906" w:rsidR="00FD4C43" w:rsidRDefault="00FD4C43" w:rsidP="00AB0B4E">
            <w:pPr>
              <w:pStyle w:val="Tabletext"/>
            </w:pPr>
          </w:p>
        </w:tc>
      </w:tr>
      <w:tr w:rsidR="00C842D5" w14:paraId="030E26B0" w14:textId="77777777" w:rsidTr="00400F30">
        <w:trPr>
          <w:cantSplit/>
          <w:trHeight w:val="422"/>
        </w:trPr>
        <w:tc>
          <w:tcPr>
            <w:tcW w:w="5571" w:type="dxa"/>
            <w:gridSpan w:val="3"/>
          </w:tcPr>
          <w:p w14:paraId="4750CD9F" w14:textId="73933911" w:rsidR="00C842D5" w:rsidRDefault="00C842D5" w:rsidP="0032343F">
            <w:pPr>
              <w:pStyle w:val="Tabletext"/>
            </w:pPr>
            <w:r>
              <w:rPr>
                <w:b/>
              </w:rPr>
              <w:t>Corporate director’s liability for a contravention of the law by a CCIV</w:t>
            </w:r>
          </w:p>
        </w:tc>
        <w:tc>
          <w:tcPr>
            <w:tcW w:w="4179" w:type="dxa"/>
            <w:vMerge w:val="restart"/>
            <w:shd w:val="clear" w:color="auto" w:fill="auto"/>
          </w:tcPr>
          <w:p w14:paraId="02BA8DA5" w14:textId="1D87CE12" w:rsidR="00C842D5" w:rsidRDefault="00C842D5" w:rsidP="0032343F">
            <w:pPr>
              <w:pStyle w:val="Tabletext"/>
            </w:pPr>
            <w:r w:rsidRPr="00A73B0A">
              <w:t>The corporate director of a CCIV is responsible for the consequences of a contravention of Commonwealth law by the CCIV.</w:t>
            </w:r>
          </w:p>
          <w:p w14:paraId="349011AC" w14:textId="77777777" w:rsidR="00C842D5" w:rsidRDefault="00C842D5" w:rsidP="0032343F">
            <w:pPr>
              <w:pStyle w:val="Tabletext"/>
            </w:pPr>
            <w:r>
              <w:t>The new law re</w:t>
            </w:r>
            <w:r>
              <w:noBreakHyphen/>
              <w:t xml:space="preserve">routes Commonwealth offences committed by the </w:t>
            </w:r>
            <w:proofErr w:type="gramStart"/>
            <w:r>
              <w:t>CCIV,</w:t>
            </w:r>
            <w:proofErr w:type="gramEnd"/>
            <w:r>
              <w:t xml:space="preserve"> and contraventions of Commonwealth civil penalty provisions, from the CCIV to the corporate director. Accordingly, if the CCIV contravenes the law, the corporate director is liable for the offence and any penalty. </w:t>
            </w:r>
          </w:p>
          <w:p w14:paraId="01ED2E19" w14:textId="1602B0A1" w:rsidR="00C842D5" w:rsidRDefault="00C842D5" w:rsidP="0032343F">
            <w:pPr>
              <w:pStyle w:val="Tabletext"/>
            </w:pPr>
            <w:r w:rsidRPr="0032343F">
              <w:t>A provision is also under development to require the corporate director to indemnify the CCIV for any loss or damage the CCIV sustains as a result of the CCIV’s contravention of the law.</w:t>
            </w:r>
          </w:p>
        </w:tc>
      </w:tr>
      <w:tr w:rsidR="00C842D5" w14:paraId="6412932B" w14:textId="77777777" w:rsidTr="00400F30">
        <w:trPr>
          <w:cantSplit/>
          <w:trHeight w:val="627"/>
        </w:trPr>
        <w:tc>
          <w:tcPr>
            <w:tcW w:w="4077" w:type="dxa"/>
          </w:tcPr>
          <w:p w14:paraId="04475423" w14:textId="12397A1F" w:rsidR="00C842D5" w:rsidRDefault="00C842D5" w:rsidP="0032343F">
            <w:pPr>
              <w:pStyle w:val="Tabletextindent"/>
            </w:pPr>
            <w:r>
              <w:t>Re-routing of Commonwealth offences and contraventions of civil penalties from the CCIV to the corporate director</w:t>
            </w:r>
          </w:p>
        </w:tc>
        <w:tc>
          <w:tcPr>
            <w:tcW w:w="1494" w:type="dxa"/>
            <w:gridSpan w:val="2"/>
          </w:tcPr>
          <w:p w14:paraId="3F736EC6" w14:textId="1A0F8DD2" w:rsidR="00C842D5" w:rsidRDefault="00C842D5" w:rsidP="0032343F">
            <w:pPr>
              <w:pStyle w:val="Tabletext"/>
            </w:pPr>
            <w:r>
              <w:t>1267C; 1267J; 1267N</w:t>
            </w:r>
          </w:p>
        </w:tc>
        <w:tc>
          <w:tcPr>
            <w:tcW w:w="4179" w:type="dxa"/>
            <w:vMerge/>
            <w:shd w:val="clear" w:color="auto" w:fill="auto"/>
          </w:tcPr>
          <w:p w14:paraId="4A6D7447" w14:textId="5982D6C8" w:rsidR="00C842D5" w:rsidRDefault="00C842D5" w:rsidP="0032343F">
            <w:pPr>
              <w:pStyle w:val="Tabletext"/>
            </w:pPr>
          </w:p>
        </w:tc>
      </w:tr>
      <w:tr w:rsidR="00C842D5" w14:paraId="4FF04906" w14:textId="77777777" w:rsidTr="00B822CF">
        <w:trPr>
          <w:cantSplit/>
          <w:trHeight w:val="2930"/>
        </w:trPr>
        <w:tc>
          <w:tcPr>
            <w:tcW w:w="4077" w:type="dxa"/>
          </w:tcPr>
          <w:p w14:paraId="5B7D9341" w14:textId="3D28CBE8" w:rsidR="00C842D5" w:rsidRDefault="00C842D5" w:rsidP="0032343F">
            <w:pPr>
              <w:pStyle w:val="Tabletextindent"/>
            </w:pPr>
            <w:r>
              <w:t xml:space="preserve">Indemnity for other contraventions of the law </w:t>
            </w:r>
          </w:p>
        </w:tc>
        <w:tc>
          <w:tcPr>
            <w:tcW w:w="1494" w:type="dxa"/>
            <w:gridSpan w:val="2"/>
          </w:tcPr>
          <w:p w14:paraId="7B870F88" w14:textId="1C3AF687" w:rsidR="00C842D5" w:rsidRDefault="00B459E9" w:rsidP="0032343F">
            <w:pPr>
              <w:pStyle w:val="Tabletext"/>
            </w:pPr>
            <w:r>
              <w:t>N/A</w:t>
            </w:r>
          </w:p>
        </w:tc>
        <w:tc>
          <w:tcPr>
            <w:tcW w:w="4179" w:type="dxa"/>
            <w:vMerge/>
            <w:shd w:val="clear" w:color="auto" w:fill="auto"/>
          </w:tcPr>
          <w:p w14:paraId="076BDC54" w14:textId="53DFA87C" w:rsidR="00C842D5" w:rsidRDefault="00C842D5" w:rsidP="0032343F">
            <w:pPr>
              <w:pStyle w:val="Tabletext"/>
            </w:pPr>
          </w:p>
        </w:tc>
      </w:tr>
    </w:tbl>
    <w:p w14:paraId="66AFD80C" w14:textId="46A94695" w:rsidR="005E4C5E" w:rsidRDefault="005E4C5E" w:rsidP="0065322F">
      <w:pPr>
        <w:pStyle w:val="Tabletext"/>
      </w:pPr>
    </w:p>
    <w:sectPr w:rsidR="005E4C5E" w:rsidSect="0024692E">
      <w:headerReference w:type="default" r:id="rId13"/>
      <w:footerReference w:type="default" r:id="rId14"/>
      <w:headerReference w:type="first" r:id="rId15"/>
      <w:footerReference w:type="first" r:id="rId16"/>
      <w:pgSz w:w="11906" w:h="16838"/>
      <w:pgMar w:top="2552"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ACBC2" w14:textId="77777777" w:rsidR="0053413C" w:rsidRDefault="0053413C" w:rsidP="00D75494">
      <w:r>
        <w:separator/>
      </w:r>
    </w:p>
  </w:endnote>
  <w:endnote w:type="continuationSeparator" w:id="0">
    <w:p w14:paraId="78A2948E" w14:textId="77777777" w:rsidR="0053413C" w:rsidRDefault="0053413C" w:rsidP="00D75494">
      <w:r>
        <w:continuationSeparator/>
      </w:r>
    </w:p>
  </w:endnote>
  <w:endnote w:type="continuationNotice" w:id="1">
    <w:p w14:paraId="37CB394A" w14:textId="77777777" w:rsidR="0053413C" w:rsidRDefault="005341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7D58C" w14:textId="77777777" w:rsidR="0053413C" w:rsidRDefault="0053413C" w:rsidP="005E4C5E">
    <w:pPr>
      <w:pStyle w:val="Footer"/>
    </w:pPr>
    <w:r>
      <w:t xml:space="preserve">Page </w:t>
    </w:r>
    <w:r>
      <w:fldChar w:fldCharType="begin"/>
    </w:r>
    <w:r>
      <w:instrText xml:space="preserve"> PAGE   \* MERGEFORMAT </w:instrText>
    </w:r>
    <w:r>
      <w:fldChar w:fldCharType="separate"/>
    </w:r>
    <w:r w:rsidR="003515BC">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ED217" w14:textId="77777777" w:rsidR="0053413C" w:rsidRDefault="0053413C">
    <w:pPr>
      <w:pStyle w:val="Footer"/>
    </w:pPr>
    <w:r>
      <w:t xml:space="preserve">Page </w:t>
    </w:r>
    <w:r>
      <w:fldChar w:fldCharType="begin"/>
    </w:r>
    <w:r>
      <w:instrText xml:space="preserve"> PAGE   \* MERGEFORMAT </w:instrText>
    </w:r>
    <w:r>
      <w:fldChar w:fldCharType="separate"/>
    </w:r>
    <w:r w:rsidR="003515B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C9AB4" w14:textId="77777777" w:rsidR="0053413C" w:rsidRDefault="0053413C" w:rsidP="00D75494">
      <w:r>
        <w:separator/>
      </w:r>
    </w:p>
  </w:footnote>
  <w:footnote w:type="continuationSeparator" w:id="0">
    <w:p w14:paraId="064B4168" w14:textId="77777777" w:rsidR="0053413C" w:rsidRDefault="0053413C" w:rsidP="00D75494">
      <w:r>
        <w:continuationSeparator/>
      </w:r>
    </w:p>
  </w:footnote>
  <w:footnote w:type="continuationNotice" w:id="1">
    <w:p w14:paraId="28FB047C" w14:textId="77777777" w:rsidR="0053413C" w:rsidRDefault="0053413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84A8E" w14:textId="77777777" w:rsidR="0053413C" w:rsidRPr="005E4C5E" w:rsidRDefault="0053413C">
    <w:pPr>
      <w:pStyle w:val="Header"/>
      <w:rPr>
        <w:color w:val="004A80" w:themeColor="background2"/>
        <w:sz w:val="24"/>
      </w:rPr>
    </w:pPr>
    <w:r w:rsidRPr="005E4C5E">
      <w:rPr>
        <w:noProof/>
        <w:color w:val="004A80" w:themeColor="background2"/>
        <w:sz w:val="24"/>
        <w:lang w:eastAsia="en-AU"/>
      </w:rPr>
      <w:drawing>
        <wp:anchor distT="0" distB="0" distL="114300" distR="114300" simplePos="0" relativeHeight="251658241" behindDoc="1" locked="0" layoutInCell="1" allowOverlap="1" wp14:anchorId="7058F352" wp14:editId="1F7B9471">
          <wp:simplePos x="723900" y="447675"/>
          <wp:positionH relativeFrom="page">
            <wp:align>center</wp:align>
          </wp:positionH>
          <wp:positionV relativeFrom="page">
            <wp:align>top</wp:align>
          </wp:positionV>
          <wp:extent cx="7560360" cy="1571040"/>
          <wp:effectExtent l="0" t="0" r="254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 Design Office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571040"/>
                  </a:xfrm>
                  <a:prstGeom prst="rect">
                    <a:avLst/>
                  </a:prstGeom>
                </pic:spPr>
              </pic:pic>
            </a:graphicData>
          </a:graphic>
          <wp14:sizeRelH relativeFrom="margin">
            <wp14:pctWidth>0</wp14:pctWidth>
          </wp14:sizeRelH>
          <wp14:sizeRelV relativeFrom="margin">
            <wp14:pctHeight>0</wp14:pctHeight>
          </wp14:sizeRelV>
        </wp:anchor>
      </w:drawing>
    </w:r>
    <w:r w:rsidRPr="005E4C5E">
      <w:rPr>
        <w:color w:val="004A80" w:themeColor="background2"/>
        <w:sz w:val="24"/>
      </w:rPr>
      <w:t>THE TREASURY</w:t>
    </w:r>
    <w:r w:rsidRPr="005E4C5E">
      <w:rPr>
        <w:b/>
        <w:color w:val="004A80" w:themeColor="background2"/>
        <w:sz w:val="24"/>
      </w:rPr>
      <w:t xml:space="preserve"> Draft Legislation</w:t>
    </w:r>
    <w:r w:rsidRPr="005E4C5E">
      <w:rPr>
        <w:color w:val="004A80" w:themeColor="background2"/>
        <w:sz w:val="24"/>
      </w:rPr>
      <w:t xml:space="preserve">: </w:t>
    </w:r>
    <w:r w:rsidRPr="005E4C5E">
      <w:rPr>
        <w:color w:val="004A80" w:themeColor="background2"/>
        <w:sz w:val="24"/>
      </w:rPr>
      <w:fldChar w:fldCharType="begin"/>
    </w:r>
    <w:r w:rsidRPr="005E4C5E">
      <w:rPr>
        <w:color w:val="004A80" w:themeColor="background2"/>
        <w:sz w:val="24"/>
      </w:rPr>
      <w:instrText xml:space="preserve"> MACROBUTTON  AcceptAllChangesInDoc "[Insert Header]" </w:instrText>
    </w:r>
    <w:r w:rsidRPr="005E4C5E">
      <w:rPr>
        <w:color w:val="004A80" w:themeColor="background2"/>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E103C" w14:textId="77777777" w:rsidR="0053413C" w:rsidRPr="000505BE" w:rsidRDefault="0053413C" w:rsidP="0024692E">
    <w:pPr>
      <w:spacing w:after="0" w:line="480" w:lineRule="exact"/>
      <w:jc w:val="right"/>
      <w:rPr>
        <w:color w:val="004A80" w:themeColor="background2"/>
        <w:sz w:val="40"/>
      </w:rPr>
    </w:pPr>
    <w:r w:rsidRPr="000505BE">
      <w:rPr>
        <w:color w:val="004A80" w:themeColor="background2"/>
        <w:sz w:val="40"/>
      </w:rPr>
      <w:t>THE TREASURY</w:t>
    </w:r>
  </w:p>
  <w:p w14:paraId="3BA18744" w14:textId="77777777" w:rsidR="0053413C" w:rsidRDefault="0053413C" w:rsidP="0024692E">
    <w:pPr>
      <w:spacing w:after="240" w:line="480" w:lineRule="exact"/>
      <w:jc w:val="right"/>
    </w:pPr>
    <w:r w:rsidRPr="00FC5CFB">
      <w:rPr>
        <w:b/>
        <w:color w:val="004A80" w:themeColor="background2"/>
        <w:sz w:val="48"/>
      </w:rPr>
      <w:t>Draft Legislation</w:t>
    </w:r>
    <w:r>
      <w:rPr>
        <w:noProof/>
        <w:lang w:eastAsia="en-AU"/>
      </w:rPr>
      <w:drawing>
        <wp:anchor distT="0" distB="0" distL="114300" distR="114300" simplePos="0" relativeHeight="251658240" behindDoc="1" locked="0" layoutInCell="1" allowOverlap="1" wp14:anchorId="62FA6C12" wp14:editId="3C10D125">
          <wp:simplePos x="723900" y="447675"/>
          <wp:positionH relativeFrom="page">
            <wp:align>center</wp:align>
          </wp:positionH>
          <wp:positionV relativeFrom="page">
            <wp:align>top</wp:align>
          </wp:positionV>
          <wp:extent cx="7560360" cy="1596240"/>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 Design Office_headercrest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596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14D4B"/>
    <w:multiLevelType w:val="multilevel"/>
    <w:tmpl w:val="A316FE50"/>
    <w:styleLink w:val="ChapterList"/>
    <w:lvl w:ilvl="0">
      <w:start w:val="1"/>
      <w:numFmt w:val="decimal"/>
      <w:pStyle w:val="ChapterHeading"/>
      <w:lvlText w:val="Chapter %1"/>
      <w:lvlJc w:val="left"/>
      <w:pPr>
        <w:tabs>
          <w:tab w:val="num" w:pos="1134"/>
        </w:tabs>
        <w:ind w:left="0" w:firstLine="0"/>
      </w:pPr>
      <w:rPr>
        <w:rFonts w:hint="default"/>
      </w:rPr>
    </w:lvl>
    <w:lvl w:ilvl="1">
      <w:start w:val="1"/>
      <w:numFmt w:val="decimal"/>
      <w:pStyle w:val="base-text-paragraph"/>
      <w:lvlText w:val="%1.%2"/>
      <w:lvlJc w:val="left"/>
      <w:pPr>
        <w:tabs>
          <w:tab w:val="num" w:pos="1985"/>
        </w:tabs>
        <w:ind w:left="1134" w:firstLine="0"/>
      </w:pPr>
      <w:rPr>
        <w:rFonts w:hint="default"/>
      </w:rPr>
    </w:lvl>
    <w:lvl w:ilvl="2">
      <w:start w:val="1"/>
      <w:numFmt w:val="decimal"/>
      <w:lvlRestart w:val="1"/>
      <w:pStyle w:val="Diagram"/>
      <w:suff w:val="nothing"/>
      <w:lvlText w:val="Diagram %1.%3"/>
      <w:lvlJc w:val="left"/>
      <w:pPr>
        <w:ind w:left="1134" w:firstLine="0"/>
      </w:pPr>
      <w:rPr>
        <w:rFonts w:hint="default"/>
      </w:rPr>
    </w:lvl>
    <w:lvl w:ilvl="3">
      <w:start w:val="1"/>
      <w:numFmt w:val="decimal"/>
      <w:lvlRestart w:val="1"/>
      <w:pStyle w:val="ExampleHeading"/>
      <w:suff w:val="nothing"/>
      <w:lvlText w:val="Example %1.%4"/>
      <w:lvlJc w:val="left"/>
      <w:pPr>
        <w:ind w:left="1134" w:firstLine="0"/>
      </w:pPr>
      <w:rPr>
        <w:rFonts w:hint="default"/>
      </w:rPr>
    </w:lvl>
    <w:lvl w:ilvl="4">
      <w:start w:val="1"/>
      <w:numFmt w:val="decimal"/>
      <w:lvlRestart w:val="1"/>
      <w:pStyle w:val="TableHeadingoutsidetable"/>
      <w:suff w:val="nothing"/>
      <w:lvlText w:val="Table %1.%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65DF6494"/>
    <w:multiLevelType w:val="multilevel"/>
    <w:tmpl w:val="A316FE50"/>
    <w:numStyleLink w:val="ChapterList"/>
  </w:abstractNum>
  <w:abstractNum w:abstractNumId="2">
    <w:nsid w:val="73583E36"/>
    <w:multiLevelType w:val="multilevel"/>
    <w:tmpl w:val="A86A8BCC"/>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lvl w:ilvl="0">
        <w:start w:val="1"/>
        <w:numFmt w:val="decimal"/>
        <w:lvlText w:val="Chapter %1"/>
        <w:lvlJc w:val="left"/>
        <w:pPr>
          <w:tabs>
            <w:tab w:val="num" w:pos="1134"/>
          </w:tabs>
          <w:ind w:left="0" w:firstLine="0"/>
        </w:pPr>
        <w:rPr>
          <w:rFonts w:hint="default"/>
        </w:rPr>
      </w:lvl>
    </w:lvlOverride>
    <w:lvlOverride w:ilvl="1">
      <w:lvl w:ilvl="1">
        <w:start w:val="1"/>
        <w:numFmt w:val="decimal"/>
        <w:lvlText w:val="%1.%2"/>
        <w:lvlJc w:val="left"/>
        <w:pPr>
          <w:tabs>
            <w:tab w:val="num" w:pos="1985"/>
          </w:tabs>
          <w:ind w:left="1134" w:firstLine="0"/>
        </w:pPr>
        <w:rPr>
          <w:rFonts w:hint="default"/>
          <w:sz w:val="22"/>
        </w:rPr>
      </w:lvl>
    </w:lvlOverride>
    <w:lvlOverride w:ilvl="2">
      <w:lvl w:ilvl="2">
        <w:start w:val="1"/>
        <w:numFmt w:val="decimal"/>
        <w:lvlRestart w:val="1"/>
        <w:suff w:val="nothing"/>
        <w:lvlText w:val="Diagram %1.%3"/>
        <w:lvlJc w:val="left"/>
        <w:pPr>
          <w:ind w:left="1134" w:firstLine="0"/>
        </w:pPr>
        <w:rPr>
          <w:rFonts w:hint="default"/>
        </w:rPr>
      </w:lvl>
    </w:lvlOverride>
    <w:lvlOverride w:ilvl="3">
      <w:lvl w:ilvl="3">
        <w:start w:val="1"/>
        <w:numFmt w:val="decimal"/>
        <w:lvlRestart w:val="1"/>
        <w:suff w:val="nothing"/>
        <w:lvlText w:val="Example %1.%4"/>
        <w:lvlJc w:val="left"/>
        <w:pPr>
          <w:ind w:left="1134" w:firstLine="0"/>
        </w:pPr>
        <w:rPr>
          <w:rFonts w:hint="default"/>
        </w:rPr>
      </w:lvl>
    </w:lvlOverride>
    <w:lvlOverride w:ilvl="4">
      <w:lvl w:ilvl="4">
        <w:start w:val="1"/>
        <w:numFmt w:val="decimal"/>
        <w:lvlRestart w:val="1"/>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trackRevisions/>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F47"/>
    <w:rsid w:val="00000D8F"/>
    <w:rsid w:val="000014B0"/>
    <w:rsid w:val="0000343F"/>
    <w:rsid w:val="00011019"/>
    <w:rsid w:val="000119F0"/>
    <w:rsid w:val="00012354"/>
    <w:rsid w:val="000133A6"/>
    <w:rsid w:val="00023195"/>
    <w:rsid w:val="000311D0"/>
    <w:rsid w:val="000421F9"/>
    <w:rsid w:val="000505BE"/>
    <w:rsid w:val="00057778"/>
    <w:rsid w:val="0007592E"/>
    <w:rsid w:val="000815BD"/>
    <w:rsid w:val="00097526"/>
    <w:rsid w:val="000A1928"/>
    <w:rsid w:val="000A439E"/>
    <w:rsid w:val="000C1EC7"/>
    <w:rsid w:val="000D0949"/>
    <w:rsid w:val="000E1A9F"/>
    <w:rsid w:val="000E4588"/>
    <w:rsid w:val="00111115"/>
    <w:rsid w:val="00112866"/>
    <w:rsid w:val="001253CF"/>
    <w:rsid w:val="001316A7"/>
    <w:rsid w:val="00135C7F"/>
    <w:rsid w:val="001463E6"/>
    <w:rsid w:val="00151038"/>
    <w:rsid w:val="001579A5"/>
    <w:rsid w:val="00175164"/>
    <w:rsid w:val="001775E9"/>
    <w:rsid w:val="001832E5"/>
    <w:rsid w:val="0019790D"/>
    <w:rsid w:val="001B02FB"/>
    <w:rsid w:val="001C2871"/>
    <w:rsid w:val="001D2C8E"/>
    <w:rsid w:val="001D3D50"/>
    <w:rsid w:val="001E1A09"/>
    <w:rsid w:val="001E6056"/>
    <w:rsid w:val="001F1227"/>
    <w:rsid w:val="001F4E62"/>
    <w:rsid w:val="001F59A1"/>
    <w:rsid w:val="00200B97"/>
    <w:rsid w:val="0020569A"/>
    <w:rsid w:val="0021443E"/>
    <w:rsid w:val="00243DC5"/>
    <w:rsid w:val="0024692E"/>
    <w:rsid w:val="00257032"/>
    <w:rsid w:val="00260C15"/>
    <w:rsid w:val="002701D7"/>
    <w:rsid w:val="00270BCA"/>
    <w:rsid w:val="002972C3"/>
    <w:rsid w:val="002A2E80"/>
    <w:rsid w:val="002C0866"/>
    <w:rsid w:val="002C2C50"/>
    <w:rsid w:val="002D3E2D"/>
    <w:rsid w:val="002D75AE"/>
    <w:rsid w:val="0030268D"/>
    <w:rsid w:val="003108E2"/>
    <w:rsid w:val="003153A4"/>
    <w:rsid w:val="0032343F"/>
    <w:rsid w:val="00324B9D"/>
    <w:rsid w:val="00331640"/>
    <w:rsid w:val="00334C87"/>
    <w:rsid w:val="0034550A"/>
    <w:rsid w:val="003515BC"/>
    <w:rsid w:val="00396DB5"/>
    <w:rsid w:val="003A316A"/>
    <w:rsid w:val="003A3865"/>
    <w:rsid w:val="003B5775"/>
    <w:rsid w:val="003C062B"/>
    <w:rsid w:val="003C5912"/>
    <w:rsid w:val="003C704E"/>
    <w:rsid w:val="003D14DD"/>
    <w:rsid w:val="003E2F11"/>
    <w:rsid w:val="003E58DF"/>
    <w:rsid w:val="003E7C8F"/>
    <w:rsid w:val="003F4147"/>
    <w:rsid w:val="00400F30"/>
    <w:rsid w:val="00405B16"/>
    <w:rsid w:val="004165AD"/>
    <w:rsid w:val="00421B11"/>
    <w:rsid w:val="00435675"/>
    <w:rsid w:val="0044292F"/>
    <w:rsid w:val="00452B57"/>
    <w:rsid w:val="00475AE9"/>
    <w:rsid w:val="00494995"/>
    <w:rsid w:val="004A10A7"/>
    <w:rsid w:val="004A5997"/>
    <w:rsid w:val="004B16EB"/>
    <w:rsid w:val="004B251D"/>
    <w:rsid w:val="004C1001"/>
    <w:rsid w:val="004C6E61"/>
    <w:rsid w:val="004D37C1"/>
    <w:rsid w:val="004E16DD"/>
    <w:rsid w:val="0050294F"/>
    <w:rsid w:val="00507314"/>
    <w:rsid w:val="00510374"/>
    <w:rsid w:val="005112D8"/>
    <w:rsid w:val="0053413C"/>
    <w:rsid w:val="0054109A"/>
    <w:rsid w:val="00574209"/>
    <w:rsid w:val="005812AC"/>
    <w:rsid w:val="00582909"/>
    <w:rsid w:val="00592BB0"/>
    <w:rsid w:val="00597613"/>
    <w:rsid w:val="005A5B34"/>
    <w:rsid w:val="005B04D7"/>
    <w:rsid w:val="005B3389"/>
    <w:rsid w:val="005C0071"/>
    <w:rsid w:val="005C1426"/>
    <w:rsid w:val="005D0DFF"/>
    <w:rsid w:val="005E4C5E"/>
    <w:rsid w:val="00604783"/>
    <w:rsid w:val="00616D9B"/>
    <w:rsid w:val="00621116"/>
    <w:rsid w:val="006271AB"/>
    <w:rsid w:val="00630FE8"/>
    <w:rsid w:val="00633E12"/>
    <w:rsid w:val="0065322F"/>
    <w:rsid w:val="006574B9"/>
    <w:rsid w:val="00657B0B"/>
    <w:rsid w:val="00661A1A"/>
    <w:rsid w:val="0067127C"/>
    <w:rsid w:val="006B5F36"/>
    <w:rsid w:val="006B6CC0"/>
    <w:rsid w:val="006D2043"/>
    <w:rsid w:val="006D226F"/>
    <w:rsid w:val="006F2A02"/>
    <w:rsid w:val="006F442D"/>
    <w:rsid w:val="00715107"/>
    <w:rsid w:val="0073146D"/>
    <w:rsid w:val="00731665"/>
    <w:rsid w:val="00734D2F"/>
    <w:rsid w:val="007367B1"/>
    <w:rsid w:val="00740E9B"/>
    <w:rsid w:val="00757DE1"/>
    <w:rsid w:val="00774A1A"/>
    <w:rsid w:val="00782CFF"/>
    <w:rsid w:val="00783A7C"/>
    <w:rsid w:val="007978BC"/>
    <w:rsid w:val="00797C86"/>
    <w:rsid w:val="007B30C8"/>
    <w:rsid w:val="007B6561"/>
    <w:rsid w:val="007C271A"/>
    <w:rsid w:val="007C70B4"/>
    <w:rsid w:val="007D5590"/>
    <w:rsid w:val="007D72F7"/>
    <w:rsid w:val="007E7A5B"/>
    <w:rsid w:val="00805D24"/>
    <w:rsid w:val="00806741"/>
    <w:rsid w:val="00814F30"/>
    <w:rsid w:val="0081539F"/>
    <w:rsid w:val="008471BE"/>
    <w:rsid w:val="00854110"/>
    <w:rsid w:val="008676FF"/>
    <w:rsid w:val="00867BF0"/>
    <w:rsid w:val="008825C3"/>
    <w:rsid w:val="00885057"/>
    <w:rsid w:val="008A2887"/>
    <w:rsid w:val="008B59C6"/>
    <w:rsid w:val="008C6A66"/>
    <w:rsid w:val="008D2B8E"/>
    <w:rsid w:val="008D3032"/>
    <w:rsid w:val="008E5EEB"/>
    <w:rsid w:val="008F0AA4"/>
    <w:rsid w:val="008F7D76"/>
    <w:rsid w:val="00900809"/>
    <w:rsid w:val="00902E86"/>
    <w:rsid w:val="0090334F"/>
    <w:rsid w:val="00906A53"/>
    <w:rsid w:val="00906BDF"/>
    <w:rsid w:val="009243DA"/>
    <w:rsid w:val="009530A5"/>
    <w:rsid w:val="00956808"/>
    <w:rsid w:val="00963C1F"/>
    <w:rsid w:val="009644D4"/>
    <w:rsid w:val="00964D53"/>
    <w:rsid w:val="00964E18"/>
    <w:rsid w:val="009668FF"/>
    <w:rsid w:val="009700A5"/>
    <w:rsid w:val="00976B88"/>
    <w:rsid w:val="00990C4D"/>
    <w:rsid w:val="0099655F"/>
    <w:rsid w:val="009B46E0"/>
    <w:rsid w:val="009D0ECE"/>
    <w:rsid w:val="009E149A"/>
    <w:rsid w:val="00A01987"/>
    <w:rsid w:val="00A05F8A"/>
    <w:rsid w:val="00A12BE8"/>
    <w:rsid w:val="00A14CAA"/>
    <w:rsid w:val="00A154C2"/>
    <w:rsid w:val="00A21266"/>
    <w:rsid w:val="00A6746E"/>
    <w:rsid w:val="00A70F1D"/>
    <w:rsid w:val="00A73B0A"/>
    <w:rsid w:val="00A77928"/>
    <w:rsid w:val="00A77FDE"/>
    <w:rsid w:val="00A86137"/>
    <w:rsid w:val="00A9458B"/>
    <w:rsid w:val="00A95DB2"/>
    <w:rsid w:val="00AB0B4E"/>
    <w:rsid w:val="00AD7CAE"/>
    <w:rsid w:val="00B0608B"/>
    <w:rsid w:val="00B25DB8"/>
    <w:rsid w:val="00B459E9"/>
    <w:rsid w:val="00B5016D"/>
    <w:rsid w:val="00B60A33"/>
    <w:rsid w:val="00B65325"/>
    <w:rsid w:val="00B654A9"/>
    <w:rsid w:val="00B6678C"/>
    <w:rsid w:val="00B74E5B"/>
    <w:rsid w:val="00B822CF"/>
    <w:rsid w:val="00B95153"/>
    <w:rsid w:val="00BC3F01"/>
    <w:rsid w:val="00BD2C01"/>
    <w:rsid w:val="00BD3302"/>
    <w:rsid w:val="00BE25E1"/>
    <w:rsid w:val="00BE2D12"/>
    <w:rsid w:val="00BF12F2"/>
    <w:rsid w:val="00BF291C"/>
    <w:rsid w:val="00BF32BB"/>
    <w:rsid w:val="00C07A80"/>
    <w:rsid w:val="00C17393"/>
    <w:rsid w:val="00C20835"/>
    <w:rsid w:val="00C21EB2"/>
    <w:rsid w:val="00C43AB2"/>
    <w:rsid w:val="00C44BFE"/>
    <w:rsid w:val="00C476CC"/>
    <w:rsid w:val="00C53FD4"/>
    <w:rsid w:val="00C57789"/>
    <w:rsid w:val="00C6359B"/>
    <w:rsid w:val="00C75588"/>
    <w:rsid w:val="00C831C8"/>
    <w:rsid w:val="00C842D5"/>
    <w:rsid w:val="00C86770"/>
    <w:rsid w:val="00C92492"/>
    <w:rsid w:val="00CA797B"/>
    <w:rsid w:val="00CC0C74"/>
    <w:rsid w:val="00CC13B8"/>
    <w:rsid w:val="00CC3D2C"/>
    <w:rsid w:val="00D0571C"/>
    <w:rsid w:val="00D1386B"/>
    <w:rsid w:val="00D17987"/>
    <w:rsid w:val="00D2150F"/>
    <w:rsid w:val="00D23BF5"/>
    <w:rsid w:val="00D74C34"/>
    <w:rsid w:val="00D75494"/>
    <w:rsid w:val="00DA1777"/>
    <w:rsid w:val="00DA3E40"/>
    <w:rsid w:val="00DB0D96"/>
    <w:rsid w:val="00DB6B75"/>
    <w:rsid w:val="00DE0E2A"/>
    <w:rsid w:val="00DE434A"/>
    <w:rsid w:val="00DF30CA"/>
    <w:rsid w:val="00E032EF"/>
    <w:rsid w:val="00E070A9"/>
    <w:rsid w:val="00E14C4F"/>
    <w:rsid w:val="00E16900"/>
    <w:rsid w:val="00E3525D"/>
    <w:rsid w:val="00E37C5C"/>
    <w:rsid w:val="00E4282B"/>
    <w:rsid w:val="00E4471D"/>
    <w:rsid w:val="00E6233C"/>
    <w:rsid w:val="00E63869"/>
    <w:rsid w:val="00E717B1"/>
    <w:rsid w:val="00E76706"/>
    <w:rsid w:val="00E767CB"/>
    <w:rsid w:val="00E77C99"/>
    <w:rsid w:val="00E8282E"/>
    <w:rsid w:val="00E9214A"/>
    <w:rsid w:val="00E954CA"/>
    <w:rsid w:val="00EA130D"/>
    <w:rsid w:val="00EB5DD4"/>
    <w:rsid w:val="00ED2D87"/>
    <w:rsid w:val="00ED6110"/>
    <w:rsid w:val="00EE00BC"/>
    <w:rsid w:val="00EF6AEE"/>
    <w:rsid w:val="00F02EE0"/>
    <w:rsid w:val="00F04F47"/>
    <w:rsid w:val="00F151D9"/>
    <w:rsid w:val="00F235C5"/>
    <w:rsid w:val="00F23ABC"/>
    <w:rsid w:val="00F4582B"/>
    <w:rsid w:val="00F57F82"/>
    <w:rsid w:val="00F8529F"/>
    <w:rsid w:val="00F92EFA"/>
    <w:rsid w:val="00F93898"/>
    <w:rsid w:val="00F942EB"/>
    <w:rsid w:val="00F94686"/>
    <w:rsid w:val="00FA79D2"/>
    <w:rsid w:val="00FB7220"/>
    <w:rsid w:val="00FC0B61"/>
    <w:rsid w:val="00FC223D"/>
    <w:rsid w:val="00FC3226"/>
    <w:rsid w:val="00FC5CFB"/>
    <w:rsid w:val="00FC69A8"/>
    <w:rsid w:val="00FD2EA4"/>
    <w:rsid w:val="00FD4C43"/>
    <w:rsid w:val="00FE00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7E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FB"/>
    <w:pPr>
      <w:spacing w:after="120"/>
    </w:pPr>
    <w:rPr>
      <w:sz w:val="22"/>
    </w:rPr>
  </w:style>
  <w:style w:type="paragraph" w:styleId="Heading1">
    <w:name w:val="heading 1"/>
    <w:basedOn w:val="Normal"/>
    <w:next w:val="Normal"/>
    <w:link w:val="Heading1Char"/>
    <w:uiPriority w:val="9"/>
    <w:qFormat/>
    <w:rsid w:val="00D75494"/>
    <w:pPr>
      <w:keepNext/>
      <w:keepLines/>
      <w:spacing w:before="480" w:after="480"/>
      <w:outlineLvl w:val="0"/>
    </w:pPr>
    <w:rPr>
      <w:rFonts w:asciiTheme="majorHAnsi" w:eastAsiaTheme="majorEastAsia" w:hAnsiTheme="majorHAnsi" w:cstheme="majorBidi"/>
      <w:b/>
      <w:bCs/>
      <w:color w:val="16325C" w:themeColor="text2"/>
      <w:sz w:val="40"/>
      <w:szCs w:val="28"/>
    </w:rPr>
  </w:style>
  <w:style w:type="paragraph" w:styleId="Heading2">
    <w:name w:val="heading 2"/>
    <w:basedOn w:val="Normal"/>
    <w:next w:val="Normal"/>
    <w:link w:val="Heading2Char"/>
    <w:uiPriority w:val="9"/>
    <w:semiHidden/>
    <w:unhideWhenUsed/>
    <w:qFormat/>
    <w:rsid w:val="00200B97"/>
    <w:pPr>
      <w:keepNext/>
      <w:keepLines/>
      <w:spacing w:before="200" w:after="0"/>
      <w:outlineLvl w:val="1"/>
    </w:pPr>
    <w:rPr>
      <w:rFonts w:asciiTheme="majorHAnsi" w:eastAsiaTheme="majorEastAsia" w:hAnsiTheme="majorHAnsi" w:cstheme="majorBidi"/>
      <w:b/>
      <w:bCs/>
      <w:color w:val="0074BD" w:themeColor="accent1"/>
      <w:sz w:val="26"/>
      <w:szCs w:val="26"/>
    </w:rPr>
  </w:style>
  <w:style w:type="paragraph" w:styleId="Heading4">
    <w:name w:val="heading 4"/>
    <w:basedOn w:val="Normal"/>
    <w:next w:val="Normal"/>
    <w:link w:val="Heading4Char"/>
    <w:uiPriority w:val="9"/>
    <w:semiHidden/>
    <w:unhideWhenUsed/>
    <w:qFormat/>
    <w:rsid w:val="00200B97"/>
    <w:pPr>
      <w:keepNext/>
      <w:keepLines/>
      <w:spacing w:before="200" w:after="0"/>
      <w:outlineLvl w:val="3"/>
    </w:pPr>
    <w:rPr>
      <w:rFonts w:asciiTheme="majorHAnsi" w:eastAsiaTheme="majorEastAsia" w:hAnsiTheme="majorHAnsi" w:cstheme="majorBidi"/>
      <w:b/>
      <w:bCs/>
      <w:i/>
      <w:iCs/>
      <w:color w:val="0074BD" w:themeColor="accent1"/>
    </w:rPr>
  </w:style>
  <w:style w:type="paragraph" w:styleId="Heading9">
    <w:name w:val="heading 9"/>
    <w:basedOn w:val="Normal"/>
    <w:next w:val="Normal"/>
    <w:link w:val="Heading9Char"/>
    <w:uiPriority w:val="9"/>
    <w:semiHidden/>
    <w:unhideWhenUsed/>
    <w:qFormat/>
    <w:rsid w:val="00200B97"/>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5494"/>
    <w:pPr>
      <w:tabs>
        <w:tab w:val="center" w:pos="4513"/>
        <w:tab w:val="right" w:pos="9026"/>
      </w:tabs>
    </w:pPr>
  </w:style>
  <w:style w:type="character" w:customStyle="1" w:styleId="HeaderChar">
    <w:name w:val="Header Char"/>
    <w:basedOn w:val="DefaultParagraphFont"/>
    <w:link w:val="Header"/>
    <w:uiPriority w:val="99"/>
    <w:rsid w:val="00D75494"/>
  </w:style>
  <w:style w:type="paragraph" w:styleId="Footer">
    <w:name w:val="footer"/>
    <w:basedOn w:val="Normal"/>
    <w:link w:val="FooterChar"/>
    <w:uiPriority w:val="99"/>
    <w:unhideWhenUsed/>
    <w:rsid w:val="005E4C5E"/>
    <w:pPr>
      <w:tabs>
        <w:tab w:val="center" w:pos="4513"/>
        <w:tab w:val="right" w:pos="9026"/>
      </w:tabs>
      <w:jc w:val="right"/>
    </w:pPr>
    <w:rPr>
      <w:color w:val="004A80" w:themeColor="background2"/>
    </w:rPr>
  </w:style>
  <w:style w:type="character" w:customStyle="1" w:styleId="FooterChar">
    <w:name w:val="Footer Char"/>
    <w:basedOn w:val="DefaultParagraphFont"/>
    <w:link w:val="Footer"/>
    <w:uiPriority w:val="99"/>
    <w:rsid w:val="005E4C5E"/>
    <w:rPr>
      <w:color w:val="004A80" w:themeColor="background2"/>
      <w:sz w:val="22"/>
    </w:rPr>
  </w:style>
  <w:style w:type="paragraph" w:styleId="BalloonText">
    <w:name w:val="Balloon Text"/>
    <w:basedOn w:val="Normal"/>
    <w:link w:val="BalloonTextChar"/>
    <w:uiPriority w:val="99"/>
    <w:semiHidden/>
    <w:unhideWhenUsed/>
    <w:rsid w:val="00D75494"/>
    <w:rPr>
      <w:rFonts w:ascii="Tahoma" w:hAnsi="Tahoma" w:cs="Tahoma"/>
      <w:sz w:val="16"/>
      <w:szCs w:val="16"/>
    </w:rPr>
  </w:style>
  <w:style w:type="character" w:customStyle="1" w:styleId="BalloonTextChar">
    <w:name w:val="Balloon Text Char"/>
    <w:basedOn w:val="DefaultParagraphFont"/>
    <w:link w:val="BalloonText"/>
    <w:uiPriority w:val="99"/>
    <w:semiHidden/>
    <w:rsid w:val="00D75494"/>
    <w:rPr>
      <w:rFonts w:ascii="Tahoma" w:hAnsi="Tahoma" w:cs="Tahoma"/>
      <w:sz w:val="16"/>
      <w:szCs w:val="16"/>
    </w:rPr>
  </w:style>
  <w:style w:type="character" w:customStyle="1" w:styleId="Heading1Char">
    <w:name w:val="Heading 1 Char"/>
    <w:basedOn w:val="DefaultParagraphFont"/>
    <w:link w:val="Heading1"/>
    <w:uiPriority w:val="9"/>
    <w:rsid w:val="00D75494"/>
    <w:rPr>
      <w:rFonts w:asciiTheme="majorHAnsi" w:eastAsiaTheme="majorEastAsia" w:hAnsiTheme="majorHAnsi" w:cstheme="majorBidi"/>
      <w:b/>
      <w:bCs/>
      <w:color w:val="16325C" w:themeColor="text2"/>
      <w:sz w:val="40"/>
      <w:szCs w:val="28"/>
    </w:rPr>
  </w:style>
  <w:style w:type="table" w:styleId="TableGrid">
    <w:name w:val="Table Grid"/>
    <w:basedOn w:val="TableNormal"/>
    <w:uiPriority w:val="59"/>
    <w:rsid w:val="00D7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bold">
    <w:name w:val="Table text bold"/>
    <w:basedOn w:val="Normal"/>
    <w:qFormat/>
    <w:rsid w:val="00257032"/>
    <w:rPr>
      <w:b/>
    </w:rPr>
  </w:style>
  <w:style w:type="paragraph" w:customStyle="1" w:styleId="Tabletextindent">
    <w:name w:val="Table text indent"/>
    <w:basedOn w:val="Normal"/>
    <w:qFormat/>
    <w:rsid w:val="00B6678C"/>
    <w:pPr>
      <w:ind w:left="284"/>
    </w:pPr>
  </w:style>
  <w:style w:type="paragraph" w:customStyle="1" w:styleId="Tabletext">
    <w:name w:val="Table text"/>
    <w:basedOn w:val="Normal"/>
    <w:link w:val="TabletextChar"/>
    <w:qFormat/>
    <w:rsid w:val="00B6678C"/>
  </w:style>
  <w:style w:type="paragraph" w:customStyle="1" w:styleId="Tabletextbolditalic">
    <w:name w:val="Table text bold italic"/>
    <w:basedOn w:val="Tabletextbold"/>
    <w:qFormat/>
    <w:rsid w:val="00B6678C"/>
    <w:rPr>
      <w:i/>
    </w:rPr>
  </w:style>
  <w:style w:type="paragraph" w:customStyle="1" w:styleId="Boldintroductiontext">
    <w:name w:val="Bold introduction text"/>
    <w:basedOn w:val="Normal"/>
    <w:qFormat/>
    <w:rsid w:val="00C831C8"/>
    <w:pPr>
      <w:spacing w:after="240"/>
    </w:pPr>
    <w:rPr>
      <w:b/>
      <w:sz w:val="24"/>
      <w:szCs w:val="24"/>
    </w:rPr>
  </w:style>
  <w:style w:type="character" w:customStyle="1" w:styleId="Heading9Char">
    <w:name w:val="Heading 9 Char"/>
    <w:basedOn w:val="DefaultParagraphFont"/>
    <w:link w:val="Heading9"/>
    <w:uiPriority w:val="9"/>
    <w:semiHidden/>
    <w:rsid w:val="00200B97"/>
    <w:rPr>
      <w:rFonts w:asciiTheme="majorHAnsi" w:eastAsiaTheme="majorEastAsia" w:hAnsiTheme="majorHAnsi" w:cstheme="majorBidi"/>
      <w:i/>
      <w:iCs/>
      <w:color w:val="404040" w:themeColor="text1" w:themeTint="BF"/>
    </w:rPr>
  </w:style>
  <w:style w:type="paragraph" w:customStyle="1" w:styleId="base-text-paragraph">
    <w:name w:val="base-text-paragraph"/>
    <w:basedOn w:val="Normal"/>
    <w:qFormat/>
    <w:rsid w:val="00200B97"/>
    <w:pPr>
      <w:numPr>
        <w:ilvl w:val="1"/>
        <w:numId w:val="2"/>
      </w:numPr>
      <w:spacing w:before="120"/>
    </w:pPr>
    <w:rPr>
      <w:rFonts w:ascii="Times New Roman" w:eastAsia="Times New Roman" w:hAnsi="Times New Roman"/>
      <w:lang w:eastAsia="en-AU"/>
    </w:rPr>
  </w:style>
  <w:style w:type="paragraph" w:customStyle="1" w:styleId="ChapterHeading">
    <w:name w:val="Chapter Heading"/>
    <w:next w:val="Heading2"/>
    <w:rsid w:val="00200B97"/>
    <w:pPr>
      <w:numPr>
        <w:numId w:val="2"/>
      </w:numPr>
      <w:pBdr>
        <w:top w:val="single" w:sz="4" w:space="1" w:color="auto"/>
        <w:bottom w:val="single" w:sz="4" w:space="1" w:color="auto"/>
      </w:pBdr>
      <w:spacing w:before="240" w:after="360" w:line="260" w:lineRule="atLeast"/>
    </w:pPr>
    <w:rPr>
      <w:rFonts w:ascii="Helvetica" w:eastAsia="Times New Roman" w:hAnsi="Helvetica"/>
      <w:b/>
      <w:i/>
      <w:sz w:val="38"/>
      <w:lang w:eastAsia="en-AU"/>
    </w:rPr>
  </w:style>
  <w:style w:type="numbering" w:customStyle="1" w:styleId="ChapterList">
    <w:name w:val="ChapterList"/>
    <w:uiPriority w:val="99"/>
    <w:rsid w:val="00200B97"/>
    <w:pPr>
      <w:numPr>
        <w:numId w:val="2"/>
      </w:numPr>
    </w:pPr>
  </w:style>
  <w:style w:type="paragraph" w:customStyle="1" w:styleId="Diagram">
    <w:name w:val="Diagram"/>
    <w:basedOn w:val="Normal"/>
    <w:next w:val="Normal"/>
    <w:rsid w:val="00200B97"/>
    <w:pPr>
      <w:keepNext/>
      <w:numPr>
        <w:ilvl w:val="2"/>
        <w:numId w:val="2"/>
      </w:numPr>
      <w:spacing w:after="0"/>
    </w:pPr>
    <w:rPr>
      <w:rFonts w:ascii="Times New Roman" w:eastAsia="Times New Roman" w:hAnsi="Times New Roman"/>
      <w:b/>
      <w:lang w:eastAsia="en-AU"/>
    </w:rPr>
  </w:style>
  <w:style w:type="paragraph" w:customStyle="1" w:styleId="ExampleHeading">
    <w:name w:val="Example Heading"/>
    <w:basedOn w:val="Normal"/>
    <w:next w:val="Normal"/>
    <w:rsid w:val="00200B97"/>
    <w:pPr>
      <w:keepNext/>
      <w:numPr>
        <w:ilvl w:val="3"/>
        <w:numId w:val="2"/>
      </w:numPr>
      <w:spacing w:before="120"/>
    </w:pPr>
    <w:rPr>
      <w:rFonts w:ascii="Times New Roman" w:eastAsia="Times New Roman" w:hAnsi="Times New Roman"/>
      <w:b/>
      <w:lang w:eastAsia="en-AU"/>
    </w:rPr>
  </w:style>
  <w:style w:type="paragraph" w:customStyle="1" w:styleId="TableHeadingoutsidetable">
    <w:name w:val="Table Heading (outside table)"/>
    <w:basedOn w:val="Heading4"/>
    <w:rsid w:val="00200B97"/>
    <w:pPr>
      <w:keepLines w:val="0"/>
      <w:numPr>
        <w:ilvl w:val="4"/>
        <w:numId w:val="2"/>
      </w:numPr>
      <w:tabs>
        <w:tab w:val="num" w:pos="360"/>
      </w:tabs>
      <w:spacing w:before="120" w:after="200"/>
      <w:ind w:left="0"/>
    </w:pPr>
    <w:rPr>
      <w:rFonts w:ascii="Times New Roman" w:eastAsia="Times New Roman" w:hAnsi="Times New Roman" w:cs="Times New Roman"/>
      <w:bCs w:val="0"/>
      <w:i w:val="0"/>
      <w:iCs w:val="0"/>
      <w:color w:val="auto"/>
      <w:lang w:eastAsia="en-AU"/>
    </w:rPr>
  </w:style>
  <w:style w:type="character" w:customStyle="1" w:styleId="Heading2Char">
    <w:name w:val="Heading 2 Char"/>
    <w:basedOn w:val="DefaultParagraphFont"/>
    <w:link w:val="Heading2"/>
    <w:uiPriority w:val="9"/>
    <w:semiHidden/>
    <w:rsid w:val="00200B97"/>
    <w:rPr>
      <w:rFonts w:asciiTheme="majorHAnsi" w:eastAsiaTheme="majorEastAsia" w:hAnsiTheme="majorHAnsi" w:cstheme="majorBidi"/>
      <w:b/>
      <w:bCs/>
      <w:color w:val="0074BD" w:themeColor="accent1"/>
      <w:sz w:val="26"/>
      <w:szCs w:val="26"/>
    </w:rPr>
  </w:style>
  <w:style w:type="character" w:customStyle="1" w:styleId="Heading4Char">
    <w:name w:val="Heading 4 Char"/>
    <w:basedOn w:val="DefaultParagraphFont"/>
    <w:link w:val="Heading4"/>
    <w:uiPriority w:val="9"/>
    <w:semiHidden/>
    <w:rsid w:val="00200B97"/>
    <w:rPr>
      <w:rFonts w:asciiTheme="majorHAnsi" w:eastAsiaTheme="majorEastAsia" w:hAnsiTheme="majorHAnsi" w:cstheme="majorBidi"/>
      <w:b/>
      <w:bCs/>
      <w:i/>
      <w:iCs/>
      <w:color w:val="0074BD" w:themeColor="accent1"/>
      <w:sz w:val="22"/>
    </w:rPr>
  </w:style>
  <w:style w:type="paragraph" w:customStyle="1" w:styleId="Bullet">
    <w:name w:val="Bullet"/>
    <w:basedOn w:val="Normal"/>
    <w:link w:val="BulletChar"/>
    <w:rsid w:val="00200B97"/>
    <w:pPr>
      <w:numPr>
        <w:numId w:val="3"/>
      </w:numPr>
    </w:pPr>
  </w:style>
  <w:style w:type="character" w:customStyle="1" w:styleId="TabletextChar">
    <w:name w:val="Table text Char"/>
    <w:basedOn w:val="DefaultParagraphFont"/>
    <w:link w:val="Tabletext"/>
    <w:rsid w:val="00200B97"/>
    <w:rPr>
      <w:sz w:val="22"/>
    </w:rPr>
  </w:style>
  <w:style w:type="character" w:customStyle="1" w:styleId="BulletChar">
    <w:name w:val="Bullet Char"/>
    <w:basedOn w:val="TabletextChar"/>
    <w:link w:val="Bullet"/>
    <w:rsid w:val="00200B97"/>
    <w:rPr>
      <w:sz w:val="22"/>
    </w:rPr>
  </w:style>
  <w:style w:type="paragraph" w:customStyle="1" w:styleId="Dash">
    <w:name w:val="Dash"/>
    <w:basedOn w:val="Normal"/>
    <w:link w:val="DashChar"/>
    <w:rsid w:val="00200B97"/>
    <w:pPr>
      <w:numPr>
        <w:ilvl w:val="1"/>
        <w:numId w:val="3"/>
      </w:numPr>
    </w:pPr>
  </w:style>
  <w:style w:type="character" w:customStyle="1" w:styleId="DashChar">
    <w:name w:val="Dash Char"/>
    <w:basedOn w:val="TabletextChar"/>
    <w:link w:val="Dash"/>
    <w:rsid w:val="00200B97"/>
    <w:rPr>
      <w:sz w:val="22"/>
    </w:rPr>
  </w:style>
  <w:style w:type="paragraph" w:customStyle="1" w:styleId="DoubleDot">
    <w:name w:val="Double Dot"/>
    <w:basedOn w:val="Normal"/>
    <w:link w:val="DoubleDotChar"/>
    <w:rsid w:val="00200B97"/>
    <w:pPr>
      <w:numPr>
        <w:ilvl w:val="2"/>
        <w:numId w:val="3"/>
      </w:numPr>
    </w:pPr>
  </w:style>
  <w:style w:type="character" w:customStyle="1" w:styleId="DoubleDotChar">
    <w:name w:val="Double Dot Char"/>
    <w:basedOn w:val="TabletextChar"/>
    <w:link w:val="DoubleDot"/>
    <w:rsid w:val="00200B97"/>
    <w:rPr>
      <w:sz w:val="22"/>
    </w:rPr>
  </w:style>
  <w:style w:type="character" w:styleId="CommentReference">
    <w:name w:val="annotation reference"/>
    <w:basedOn w:val="DefaultParagraphFont"/>
    <w:uiPriority w:val="99"/>
    <w:semiHidden/>
    <w:unhideWhenUsed/>
    <w:rsid w:val="00C53FD4"/>
    <w:rPr>
      <w:sz w:val="16"/>
      <w:szCs w:val="16"/>
    </w:rPr>
  </w:style>
  <w:style w:type="paragraph" w:styleId="CommentText">
    <w:name w:val="annotation text"/>
    <w:basedOn w:val="Normal"/>
    <w:link w:val="CommentTextChar"/>
    <w:uiPriority w:val="99"/>
    <w:semiHidden/>
    <w:unhideWhenUsed/>
    <w:rsid w:val="00C53FD4"/>
    <w:rPr>
      <w:sz w:val="20"/>
    </w:rPr>
  </w:style>
  <w:style w:type="character" w:customStyle="1" w:styleId="CommentTextChar">
    <w:name w:val="Comment Text Char"/>
    <w:basedOn w:val="DefaultParagraphFont"/>
    <w:link w:val="CommentText"/>
    <w:uiPriority w:val="99"/>
    <w:semiHidden/>
    <w:rsid w:val="00C53FD4"/>
  </w:style>
  <w:style w:type="paragraph" w:styleId="CommentSubject">
    <w:name w:val="annotation subject"/>
    <w:basedOn w:val="CommentText"/>
    <w:next w:val="CommentText"/>
    <w:link w:val="CommentSubjectChar"/>
    <w:uiPriority w:val="99"/>
    <w:semiHidden/>
    <w:unhideWhenUsed/>
    <w:rsid w:val="00C53FD4"/>
    <w:rPr>
      <w:b/>
      <w:bCs/>
    </w:rPr>
  </w:style>
  <w:style w:type="character" w:customStyle="1" w:styleId="CommentSubjectChar">
    <w:name w:val="Comment Subject Char"/>
    <w:basedOn w:val="CommentTextChar"/>
    <w:link w:val="CommentSubject"/>
    <w:uiPriority w:val="99"/>
    <w:semiHidden/>
    <w:rsid w:val="00C53F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FB"/>
    <w:pPr>
      <w:spacing w:after="120"/>
    </w:pPr>
    <w:rPr>
      <w:sz w:val="22"/>
    </w:rPr>
  </w:style>
  <w:style w:type="paragraph" w:styleId="Heading1">
    <w:name w:val="heading 1"/>
    <w:basedOn w:val="Normal"/>
    <w:next w:val="Normal"/>
    <w:link w:val="Heading1Char"/>
    <w:uiPriority w:val="9"/>
    <w:qFormat/>
    <w:rsid w:val="00D75494"/>
    <w:pPr>
      <w:keepNext/>
      <w:keepLines/>
      <w:spacing w:before="480" w:after="480"/>
      <w:outlineLvl w:val="0"/>
    </w:pPr>
    <w:rPr>
      <w:rFonts w:asciiTheme="majorHAnsi" w:eastAsiaTheme="majorEastAsia" w:hAnsiTheme="majorHAnsi" w:cstheme="majorBidi"/>
      <w:b/>
      <w:bCs/>
      <w:color w:val="16325C" w:themeColor="text2"/>
      <w:sz w:val="40"/>
      <w:szCs w:val="28"/>
    </w:rPr>
  </w:style>
  <w:style w:type="paragraph" w:styleId="Heading2">
    <w:name w:val="heading 2"/>
    <w:basedOn w:val="Normal"/>
    <w:next w:val="Normal"/>
    <w:link w:val="Heading2Char"/>
    <w:uiPriority w:val="9"/>
    <w:semiHidden/>
    <w:unhideWhenUsed/>
    <w:qFormat/>
    <w:rsid w:val="00200B97"/>
    <w:pPr>
      <w:keepNext/>
      <w:keepLines/>
      <w:spacing w:before="200" w:after="0"/>
      <w:outlineLvl w:val="1"/>
    </w:pPr>
    <w:rPr>
      <w:rFonts w:asciiTheme="majorHAnsi" w:eastAsiaTheme="majorEastAsia" w:hAnsiTheme="majorHAnsi" w:cstheme="majorBidi"/>
      <w:b/>
      <w:bCs/>
      <w:color w:val="0074BD" w:themeColor="accent1"/>
      <w:sz w:val="26"/>
      <w:szCs w:val="26"/>
    </w:rPr>
  </w:style>
  <w:style w:type="paragraph" w:styleId="Heading4">
    <w:name w:val="heading 4"/>
    <w:basedOn w:val="Normal"/>
    <w:next w:val="Normal"/>
    <w:link w:val="Heading4Char"/>
    <w:uiPriority w:val="9"/>
    <w:semiHidden/>
    <w:unhideWhenUsed/>
    <w:qFormat/>
    <w:rsid w:val="00200B97"/>
    <w:pPr>
      <w:keepNext/>
      <w:keepLines/>
      <w:spacing w:before="200" w:after="0"/>
      <w:outlineLvl w:val="3"/>
    </w:pPr>
    <w:rPr>
      <w:rFonts w:asciiTheme="majorHAnsi" w:eastAsiaTheme="majorEastAsia" w:hAnsiTheme="majorHAnsi" w:cstheme="majorBidi"/>
      <w:b/>
      <w:bCs/>
      <w:i/>
      <w:iCs/>
      <w:color w:val="0074BD" w:themeColor="accent1"/>
    </w:rPr>
  </w:style>
  <w:style w:type="paragraph" w:styleId="Heading9">
    <w:name w:val="heading 9"/>
    <w:basedOn w:val="Normal"/>
    <w:next w:val="Normal"/>
    <w:link w:val="Heading9Char"/>
    <w:uiPriority w:val="9"/>
    <w:semiHidden/>
    <w:unhideWhenUsed/>
    <w:qFormat/>
    <w:rsid w:val="00200B97"/>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5494"/>
    <w:pPr>
      <w:tabs>
        <w:tab w:val="center" w:pos="4513"/>
        <w:tab w:val="right" w:pos="9026"/>
      </w:tabs>
    </w:pPr>
  </w:style>
  <w:style w:type="character" w:customStyle="1" w:styleId="HeaderChar">
    <w:name w:val="Header Char"/>
    <w:basedOn w:val="DefaultParagraphFont"/>
    <w:link w:val="Header"/>
    <w:uiPriority w:val="99"/>
    <w:rsid w:val="00D75494"/>
  </w:style>
  <w:style w:type="paragraph" w:styleId="Footer">
    <w:name w:val="footer"/>
    <w:basedOn w:val="Normal"/>
    <w:link w:val="FooterChar"/>
    <w:uiPriority w:val="99"/>
    <w:unhideWhenUsed/>
    <w:rsid w:val="005E4C5E"/>
    <w:pPr>
      <w:tabs>
        <w:tab w:val="center" w:pos="4513"/>
        <w:tab w:val="right" w:pos="9026"/>
      </w:tabs>
      <w:jc w:val="right"/>
    </w:pPr>
    <w:rPr>
      <w:color w:val="004A80" w:themeColor="background2"/>
    </w:rPr>
  </w:style>
  <w:style w:type="character" w:customStyle="1" w:styleId="FooterChar">
    <w:name w:val="Footer Char"/>
    <w:basedOn w:val="DefaultParagraphFont"/>
    <w:link w:val="Footer"/>
    <w:uiPriority w:val="99"/>
    <w:rsid w:val="005E4C5E"/>
    <w:rPr>
      <w:color w:val="004A80" w:themeColor="background2"/>
      <w:sz w:val="22"/>
    </w:rPr>
  </w:style>
  <w:style w:type="paragraph" w:styleId="BalloonText">
    <w:name w:val="Balloon Text"/>
    <w:basedOn w:val="Normal"/>
    <w:link w:val="BalloonTextChar"/>
    <w:uiPriority w:val="99"/>
    <w:semiHidden/>
    <w:unhideWhenUsed/>
    <w:rsid w:val="00D75494"/>
    <w:rPr>
      <w:rFonts w:ascii="Tahoma" w:hAnsi="Tahoma" w:cs="Tahoma"/>
      <w:sz w:val="16"/>
      <w:szCs w:val="16"/>
    </w:rPr>
  </w:style>
  <w:style w:type="character" w:customStyle="1" w:styleId="BalloonTextChar">
    <w:name w:val="Balloon Text Char"/>
    <w:basedOn w:val="DefaultParagraphFont"/>
    <w:link w:val="BalloonText"/>
    <w:uiPriority w:val="99"/>
    <w:semiHidden/>
    <w:rsid w:val="00D75494"/>
    <w:rPr>
      <w:rFonts w:ascii="Tahoma" w:hAnsi="Tahoma" w:cs="Tahoma"/>
      <w:sz w:val="16"/>
      <w:szCs w:val="16"/>
    </w:rPr>
  </w:style>
  <w:style w:type="character" w:customStyle="1" w:styleId="Heading1Char">
    <w:name w:val="Heading 1 Char"/>
    <w:basedOn w:val="DefaultParagraphFont"/>
    <w:link w:val="Heading1"/>
    <w:uiPriority w:val="9"/>
    <w:rsid w:val="00D75494"/>
    <w:rPr>
      <w:rFonts w:asciiTheme="majorHAnsi" w:eastAsiaTheme="majorEastAsia" w:hAnsiTheme="majorHAnsi" w:cstheme="majorBidi"/>
      <w:b/>
      <w:bCs/>
      <w:color w:val="16325C" w:themeColor="text2"/>
      <w:sz w:val="40"/>
      <w:szCs w:val="28"/>
    </w:rPr>
  </w:style>
  <w:style w:type="table" w:styleId="TableGrid">
    <w:name w:val="Table Grid"/>
    <w:basedOn w:val="TableNormal"/>
    <w:uiPriority w:val="59"/>
    <w:rsid w:val="00D7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bold">
    <w:name w:val="Table text bold"/>
    <w:basedOn w:val="Normal"/>
    <w:qFormat/>
    <w:rsid w:val="00257032"/>
    <w:rPr>
      <w:b/>
    </w:rPr>
  </w:style>
  <w:style w:type="paragraph" w:customStyle="1" w:styleId="Tabletextindent">
    <w:name w:val="Table text indent"/>
    <w:basedOn w:val="Normal"/>
    <w:qFormat/>
    <w:rsid w:val="00B6678C"/>
    <w:pPr>
      <w:ind w:left="284"/>
    </w:pPr>
  </w:style>
  <w:style w:type="paragraph" w:customStyle="1" w:styleId="Tabletext">
    <w:name w:val="Table text"/>
    <w:basedOn w:val="Normal"/>
    <w:link w:val="TabletextChar"/>
    <w:qFormat/>
    <w:rsid w:val="00B6678C"/>
  </w:style>
  <w:style w:type="paragraph" w:customStyle="1" w:styleId="Tabletextbolditalic">
    <w:name w:val="Table text bold italic"/>
    <w:basedOn w:val="Tabletextbold"/>
    <w:qFormat/>
    <w:rsid w:val="00B6678C"/>
    <w:rPr>
      <w:i/>
    </w:rPr>
  </w:style>
  <w:style w:type="paragraph" w:customStyle="1" w:styleId="Boldintroductiontext">
    <w:name w:val="Bold introduction text"/>
    <w:basedOn w:val="Normal"/>
    <w:qFormat/>
    <w:rsid w:val="00C831C8"/>
    <w:pPr>
      <w:spacing w:after="240"/>
    </w:pPr>
    <w:rPr>
      <w:b/>
      <w:sz w:val="24"/>
      <w:szCs w:val="24"/>
    </w:rPr>
  </w:style>
  <w:style w:type="character" w:customStyle="1" w:styleId="Heading9Char">
    <w:name w:val="Heading 9 Char"/>
    <w:basedOn w:val="DefaultParagraphFont"/>
    <w:link w:val="Heading9"/>
    <w:uiPriority w:val="9"/>
    <w:semiHidden/>
    <w:rsid w:val="00200B97"/>
    <w:rPr>
      <w:rFonts w:asciiTheme="majorHAnsi" w:eastAsiaTheme="majorEastAsia" w:hAnsiTheme="majorHAnsi" w:cstheme="majorBidi"/>
      <w:i/>
      <w:iCs/>
      <w:color w:val="404040" w:themeColor="text1" w:themeTint="BF"/>
    </w:rPr>
  </w:style>
  <w:style w:type="paragraph" w:customStyle="1" w:styleId="base-text-paragraph">
    <w:name w:val="base-text-paragraph"/>
    <w:basedOn w:val="Normal"/>
    <w:qFormat/>
    <w:rsid w:val="00200B97"/>
    <w:pPr>
      <w:numPr>
        <w:ilvl w:val="1"/>
        <w:numId w:val="2"/>
      </w:numPr>
      <w:spacing w:before="120"/>
    </w:pPr>
    <w:rPr>
      <w:rFonts w:ascii="Times New Roman" w:eastAsia="Times New Roman" w:hAnsi="Times New Roman"/>
      <w:lang w:eastAsia="en-AU"/>
    </w:rPr>
  </w:style>
  <w:style w:type="paragraph" w:customStyle="1" w:styleId="ChapterHeading">
    <w:name w:val="Chapter Heading"/>
    <w:next w:val="Heading2"/>
    <w:rsid w:val="00200B97"/>
    <w:pPr>
      <w:numPr>
        <w:numId w:val="2"/>
      </w:numPr>
      <w:pBdr>
        <w:top w:val="single" w:sz="4" w:space="1" w:color="auto"/>
        <w:bottom w:val="single" w:sz="4" w:space="1" w:color="auto"/>
      </w:pBdr>
      <w:spacing w:before="240" w:after="360" w:line="260" w:lineRule="atLeast"/>
    </w:pPr>
    <w:rPr>
      <w:rFonts w:ascii="Helvetica" w:eastAsia="Times New Roman" w:hAnsi="Helvetica"/>
      <w:b/>
      <w:i/>
      <w:sz w:val="38"/>
      <w:lang w:eastAsia="en-AU"/>
    </w:rPr>
  </w:style>
  <w:style w:type="numbering" w:customStyle="1" w:styleId="ChapterList">
    <w:name w:val="ChapterList"/>
    <w:uiPriority w:val="99"/>
    <w:rsid w:val="00200B97"/>
    <w:pPr>
      <w:numPr>
        <w:numId w:val="2"/>
      </w:numPr>
    </w:pPr>
  </w:style>
  <w:style w:type="paragraph" w:customStyle="1" w:styleId="Diagram">
    <w:name w:val="Diagram"/>
    <w:basedOn w:val="Normal"/>
    <w:next w:val="Normal"/>
    <w:rsid w:val="00200B97"/>
    <w:pPr>
      <w:keepNext/>
      <w:numPr>
        <w:ilvl w:val="2"/>
        <w:numId w:val="2"/>
      </w:numPr>
      <w:spacing w:after="0"/>
    </w:pPr>
    <w:rPr>
      <w:rFonts w:ascii="Times New Roman" w:eastAsia="Times New Roman" w:hAnsi="Times New Roman"/>
      <w:b/>
      <w:lang w:eastAsia="en-AU"/>
    </w:rPr>
  </w:style>
  <w:style w:type="paragraph" w:customStyle="1" w:styleId="ExampleHeading">
    <w:name w:val="Example Heading"/>
    <w:basedOn w:val="Normal"/>
    <w:next w:val="Normal"/>
    <w:rsid w:val="00200B97"/>
    <w:pPr>
      <w:keepNext/>
      <w:numPr>
        <w:ilvl w:val="3"/>
        <w:numId w:val="2"/>
      </w:numPr>
      <w:spacing w:before="120"/>
    </w:pPr>
    <w:rPr>
      <w:rFonts w:ascii="Times New Roman" w:eastAsia="Times New Roman" w:hAnsi="Times New Roman"/>
      <w:b/>
      <w:lang w:eastAsia="en-AU"/>
    </w:rPr>
  </w:style>
  <w:style w:type="paragraph" w:customStyle="1" w:styleId="TableHeadingoutsidetable">
    <w:name w:val="Table Heading (outside table)"/>
    <w:basedOn w:val="Heading4"/>
    <w:rsid w:val="00200B97"/>
    <w:pPr>
      <w:keepLines w:val="0"/>
      <w:numPr>
        <w:ilvl w:val="4"/>
        <w:numId w:val="2"/>
      </w:numPr>
      <w:tabs>
        <w:tab w:val="num" w:pos="360"/>
      </w:tabs>
      <w:spacing w:before="120" w:after="200"/>
      <w:ind w:left="0"/>
    </w:pPr>
    <w:rPr>
      <w:rFonts w:ascii="Times New Roman" w:eastAsia="Times New Roman" w:hAnsi="Times New Roman" w:cs="Times New Roman"/>
      <w:bCs w:val="0"/>
      <w:i w:val="0"/>
      <w:iCs w:val="0"/>
      <w:color w:val="auto"/>
      <w:lang w:eastAsia="en-AU"/>
    </w:rPr>
  </w:style>
  <w:style w:type="character" w:customStyle="1" w:styleId="Heading2Char">
    <w:name w:val="Heading 2 Char"/>
    <w:basedOn w:val="DefaultParagraphFont"/>
    <w:link w:val="Heading2"/>
    <w:uiPriority w:val="9"/>
    <w:semiHidden/>
    <w:rsid w:val="00200B97"/>
    <w:rPr>
      <w:rFonts w:asciiTheme="majorHAnsi" w:eastAsiaTheme="majorEastAsia" w:hAnsiTheme="majorHAnsi" w:cstheme="majorBidi"/>
      <w:b/>
      <w:bCs/>
      <w:color w:val="0074BD" w:themeColor="accent1"/>
      <w:sz w:val="26"/>
      <w:szCs w:val="26"/>
    </w:rPr>
  </w:style>
  <w:style w:type="character" w:customStyle="1" w:styleId="Heading4Char">
    <w:name w:val="Heading 4 Char"/>
    <w:basedOn w:val="DefaultParagraphFont"/>
    <w:link w:val="Heading4"/>
    <w:uiPriority w:val="9"/>
    <w:semiHidden/>
    <w:rsid w:val="00200B97"/>
    <w:rPr>
      <w:rFonts w:asciiTheme="majorHAnsi" w:eastAsiaTheme="majorEastAsia" w:hAnsiTheme="majorHAnsi" w:cstheme="majorBidi"/>
      <w:b/>
      <w:bCs/>
      <w:i/>
      <w:iCs/>
      <w:color w:val="0074BD" w:themeColor="accent1"/>
      <w:sz w:val="22"/>
    </w:rPr>
  </w:style>
  <w:style w:type="paragraph" w:customStyle="1" w:styleId="Bullet">
    <w:name w:val="Bullet"/>
    <w:basedOn w:val="Normal"/>
    <w:link w:val="BulletChar"/>
    <w:rsid w:val="00200B97"/>
    <w:pPr>
      <w:numPr>
        <w:numId w:val="3"/>
      </w:numPr>
    </w:pPr>
  </w:style>
  <w:style w:type="character" w:customStyle="1" w:styleId="TabletextChar">
    <w:name w:val="Table text Char"/>
    <w:basedOn w:val="DefaultParagraphFont"/>
    <w:link w:val="Tabletext"/>
    <w:rsid w:val="00200B97"/>
    <w:rPr>
      <w:sz w:val="22"/>
    </w:rPr>
  </w:style>
  <w:style w:type="character" w:customStyle="1" w:styleId="BulletChar">
    <w:name w:val="Bullet Char"/>
    <w:basedOn w:val="TabletextChar"/>
    <w:link w:val="Bullet"/>
    <w:rsid w:val="00200B97"/>
    <w:rPr>
      <w:sz w:val="22"/>
    </w:rPr>
  </w:style>
  <w:style w:type="paragraph" w:customStyle="1" w:styleId="Dash">
    <w:name w:val="Dash"/>
    <w:basedOn w:val="Normal"/>
    <w:link w:val="DashChar"/>
    <w:rsid w:val="00200B97"/>
    <w:pPr>
      <w:numPr>
        <w:ilvl w:val="1"/>
        <w:numId w:val="3"/>
      </w:numPr>
    </w:pPr>
  </w:style>
  <w:style w:type="character" w:customStyle="1" w:styleId="DashChar">
    <w:name w:val="Dash Char"/>
    <w:basedOn w:val="TabletextChar"/>
    <w:link w:val="Dash"/>
    <w:rsid w:val="00200B97"/>
    <w:rPr>
      <w:sz w:val="22"/>
    </w:rPr>
  </w:style>
  <w:style w:type="paragraph" w:customStyle="1" w:styleId="DoubleDot">
    <w:name w:val="Double Dot"/>
    <w:basedOn w:val="Normal"/>
    <w:link w:val="DoubleDotChar"/>
    <w:rsid w:val="00200B97"/>
    <w:pPr>
      <w:numPr>
        <w:ilvl w:val="2"/>
        <w:numId w:val="3"/>
      </w:numPr>
    </w:pPr>
  </w:style>
  <w:style w:type="character" w:customStyle="1" w:styleId="DoubleDotChar">
    <w:name w:val="Double Dot Char"/>
    <w:basedOn w:val="TabletextChar"/>
    <w:link w:val="DoubleDot"/>
    <w:rsid w:val="00200B97"/>
    <w:rPr>
      <w:sz w:val="22"/>
    </w:rPr>
  </w:style>
  <w:style w:type="character" w:styleId="CommentReference">
    <w:name w:val="annotation reference"/>
    <w:basedOn w:val="DefaultParagraphFont"/>
    <w:uiPriority w:val="99"/>
    <w:semiHidden/>
    <w:unhideWhenUsed/>
    <w:rsid w:val="00C53FD4"/>
    <w:rPr>
      <w:sz w:val="16"/>
      <w:szCs w:val="16"/>
    </w:rPr>
  </w:style>
  <w:style w:type="paragraph" w:styleId="CommentText">
    <w:name w:val="annotation text"/>
    <w:basedOn w:val="Normal"/>
    <w:link w:val="CommentTextChar"/>
    <w:uiPriority w:val="99"/>
    <w:semiHidden/>
    <w:unhideWhenUsed/>
    <w:rsid w:val="00C53FD4"/>
    <w:rPr>
      <w:sz w:val="20"/>
    </w:rPr>
  </w:style>
  <w:style w:type="character" w:customStyle="1" w:styleId="CommentTextChar">
    <w:name w:val="Comment Text Char"/>
    <w:basedOn w:val="DefaultParagraphFont"/>
    <w:link w:val="CommentText"/>
    <w:uiPriority w:val="99"/>
    <w:semiHidden/>
    <w:rsid w:val="00C53FD4"/>
  </w:style>
  <w:style w:type="paragraph" w:styleId="CommentSubject">
    <w:name w:val="annotation subject"/>
    <w:basedOn w:val="CommentText"/>
    <w:next w:val="CommentText"/>
    <w:link w:val="CommentSubjectChar"/>
    <w:uiPriority w:val="99"/>
    <w:semiHidden/>
    <w:unhideWhenUsed/>
    <w:rsid w:val="00C53FD4"/>
    <w:rPr>
      <w:b/>
      <w:bCs/>
    </w:rPr>
  </w:style>
  <w:style w:type="character" w:customStyle="1" w:styleId="CommentSubjectChar">
    <w:name w:val="Comment Subject Char"/>
    <w:basedOn w:val="CommentTextChar"/>
    <w:link w:val="CommentSubject"/>
    <w:uiPriority w:val="99"/>
    <w:semiHidden/>
    <w:rsid w:val="00C53F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Consultation%20Cover%20Note.dotx" TargetMode="External"/></Relationships>
</file>

<file path=word/theme/theme1.xml><?xml version="1.0" encoding="utf-8"?>
<a:theme xmlns:a="http://schemas.openxmlformats.org/drawingml/2006/main" name="TSYcorporate">
  <a:themeElements>
    <a:clrScheme name="Corporate">
      <a:dk1>
        <a:sysClr val="windowText" lastClr="000000"/>
      </a:dk1>
      <a:lt1>
        <a:sysClr val="window" lastClr="FFFFFF"/>
      </a:lt1>
      <a:dk2>
        <a:srgbClr val="16325C"/>
      </a:dk2>
      <a:lt2>
        <a:srgbClr val="004A80"/>
      </a:lt2>
      <a:accent1>
        <a:srgbClr val="0074BD"/>
      </a:accent1>
      <a:accent2>
        <a:srgbClr val="F06252"/>
      </a:accent2>
      <a:accent3>
        <a:srgbClr val="128E6D"/>
      </a:accent3>
      <a:accent4>
        <a:srgbClr val="404A8F"/>
      </a:accent4>
      <a:accent5>
        <a:srgbClr val="C8DD6B"/>
      </a:accent5>
      <a:accent6>
        <a:srgbClr val="00ABBD"/>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AA9AA2464ED13D438AD1A1CBD4E76613" ma:contentTypeVersion="12806" ma:contentTypeDescription=" " ma:contentTypeScope="" ma:versionID="49d9c8a4a4a263366c25f4890b87a8b0">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0dad82dfa830fbdc6e09715423137f7c"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TaxCatchAll xmlns="d4dd4adf-ddb3-46a3-8d7c-fab3fb2a6bc7">
      <Value>7</Value>
    </TaxCatchAll>
    <_dlc_DocId xmlns="d4dd4adf-ddb3-46a3-8d7c-fab3fb2a6bc7">2018MG-112-1706</_dlc_DocId>
    <_dlc_DocIdUrl xmlns="d4dd4adf-ddb3-46a3-8d7c-fab3fb2a6bc7">
      <Url>http://tweb/sites/mg/fsd/_layouts/15/DocIdRedir.aspx?ID=2018MG-112-1706</Url>
      <Description>2018MG-112-1706</Description>
    </_dlc_DocIdUrl>
  </documentManagement>
</p:properties>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421390505" UniqueId="72a3b914-5376-4e08-a93a-e02e58e6045f">
      <p:Name>Auditing</p:Name>
      <p:Description>Audits user actions on documents and list items to the Audit Log.</p:Description>
      <p:CustomData>
        <Audit>
          <Update/>
          <DeleteRestore/>
        </Audit>
      </p:CustomData>
    </p:PolicyItem>
  </p:PolicyItems>
</p:Policy>
</file>

<file path=customXml/itemProps1.xml><?xml version="1.0" encoding="utf-8"?>
<ds:datastoreItem xmlns:ds="http://schemas.openxmlformats.org/officeDocument/2006/customXml" ds:itemID="{FCB30B8E-8E9F-474E-9309-1454B5304AC8}"/>
</file>

<file path=customXml/itemProps2.xml><?xml version="1.0" encoding="utf-8"?>
<ds:datastoreItem xmlns:ds="http://schemas.openxmlformats.org/officeDocument/2006/customXml" ds:itemID="{BE70C2B2-DE1A-46CB-96D4-B4496B1BECAB}"/>
</file>

<file path=customXml/itemProps3.xml><?xml version="1.0" encoding="utf-8"?>
<ds:datastoreItem xmlns:ds="http://schemas.openxmlformats.org/officeDocument/2006/customXml" ds:itemID="{5A113DF7-A78F-48D5-BD6E-912EE88C0B14}">
  <ds:schemaRefs>
    <ds:schemaRef ds:uri="http://schemas.microsoft.com/sharepoint/v3/contenttype/forms"/>
  </ds:schemaRefs>
</ds:datastoreItem>
</file>

<file path=customXml/itemProps4.xml><?xml version="1.0" encoding="utf-8"?>
<ds:datastoreItem xmlns:ds="http://schemas.openxmlformats.org/officeDocument/2006/customXml" ds:itemID="{EB0AD440-EAAB-4FC1-8D8D-BF9F4A617219}"/>
</file>

<file path=customXml/itemProps5.xml><?xml version="1.0" encoding="utf-8"?>
<ds:datastoreItem xmlns:ds="http://schemas.openxmlformats.org/officeDocument/2006/customXml" ds:itemID="{88417762-D03E-4EC8-9FDB-FC0C0FE3DB94}">
  <ds:schemaRefs>
    <ds:schemaRef ds:uri="http://purl.org/dc/terms/"/>
    <ds:schemaRef ds:uri="http://purl.org/dc/elements/1.1/"/>
    <ds:schemaRef ds:uri="9f7bc583-7cbe-45b9-a2bd-8bbb6543b37e"/>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schemas.microsoft.com/sharepoint/v4"/>
    <ds:schemaRef ds:uri="http://schemas.microsoft.com/office/2006/documentManagement/types"/>
    <ds:schemaRef ds:uri="507a8a59-704d-43cf-b103-02b0cd527a9d"/>
    <ds:schemaRef ds:uri="http://schemas.microsoft.com/sharepoint/v3"/>
    <ds:schemaRef ds:uri="http://purl.org/dc/dcmitype/"/>
  </ds:schemaRefs>
</ds:datastoreItem>
</file>

<file path=customXml/itemProps6.xml><?xml version="1.0" encoding="utf-8"?>
<ds:datastoreItem xmlns:ds="http://schemas.openxmlformats.org/officeDocument/2006/customXml" ds:itemID="{E800D9B1-1C8A-49DD-80AF-1537A81BD4FA}"/>
</file>

<file path=docProps/app.xml><?xml version="1.0" encoding="utf-8"?>
<Properties xmlns="http://schemas.openxmlformats.org/officeDocument/2006/extended-properties" xmlns:vt="http://schemas.openxmlformats.org/officeDocument/2006/docPropsVTypes">
  <Template>Consultation Cover Note.dotx</Template>
  <TotalTime>1650</TotalTime>
  <Pages>5</Pages>
  <Words>1482</Words>
  <Characters>8453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Nandini Bajaj</dc:creator>
  <cp:lastModifiedBy>Waldron, Rebecca</cp:lastModifiedBy>
  <cp:revision>55</cp:revision>
  <cp:lastPrinted>2018-07-19T03:10:00Z</cp:lastPrinted>
  <dcterms:created xsi:type="dcterms:W3CDTF">2018-07-12T01:19:00Z</dcterms:created>
  <dcterms:modified xsi:type="dcterms:W3CDTF">2018-07-19T03:10:00Z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0x010100E95D40E5DFEA714B90E88DB5CE07A6B500AA9AA2464ED13D438AD1A1CBD4E76613</vt:lpwstr>
  </property>
  <property fmtid="{D5CDD505-2E9C-101B-9397-08002B2CF9AE}" pid="3" name="TSYRecordClass">
    <vt:lpwstr>7;#TSY RA-9072 - Retain as national archives|d71911a4-1e32-4fc6-834f-26c4fc33e217</vt:lpwstr>
  </property>
  <property fmtid="{D5CDD505-2E9C-101B-9397-08002B2CF9AE}" pid="4" name="_dlc_DocIdItemGuid">
    <vt:lpwstr>2e13b439-9440-42f3-9217-195ea3a760b5</vt:lpwstr>
  </property>
  <property fmtid="{D5CDD505-2E9C-101B-9397-08002B2CF9AE}" pid="5" name="RecordPoint_WorkflowType">
    <vt:lpwstr>ActiveSubmitStub</vt:lpwstr>
  </property>
  <property fmtid="{D5CDD505-2E9C-101B-9397-08002B2CF9AE}" pid="6" name="RecordPoint_ActiveItemUniqueId">
    <vt:lpwstr>{c599dec4-503f-4994-b7bc-cc33043532db}</vt:lpwstr>
  </property>
  <property fmtid="{D5CDD505-2E9C-101B-9397-08002B2CF9AE}" pid="7" name="RecordPoint_ActiveItemWebId">
    <vt:lpwstr>{09392e0d-4618-463d-b4d2-50a90b9447cf}</vt:lpwstr>
  </property>
  <property fmtid="{D5CDD505-2E9C-101B-9397-08002B2CF9AE}" pid="8" name="RecordPoint_ActiveItemSiteId">
    <vt:lpwstr>{5b52b9a5-e5b2-4521-8814-a1e24ca2869d}</vt:lpwstr>
  </property>
  <property fmtid="{D5CDD505-2E9C-101B-9397-08002B2CF9AE}" pid="9" name="RecordPoint_ActiveItemListId">
    <vt:lpwstr>{507a8a59-704d-43cf-b103-02b0cd527a9d}</vt:lpwstr>
  </property>
  <property fmtid="{D5CDD505-2E9C-101B-9397-08002B2CF9AE}" pid="10" name="RecordPoint_RecordNumberSubmitted">
    <vt:lpwstr>R0001798744</vt:lpwstr>
  </property>
  <property fmtid="{D5CDD505-2E9C-101B-9397-08002B2CF9AE}" pid="11" name="RecordPoint_SubmissionCompleted">
    <vt:lpwstr>2018-07-18T10:46:26.4040812+10:00</vt:lpwstr>
  </property>
  <property fmtid="{D5CDD505-2E9C-101B-9397-08002B2CF9AE}" pid="12" name="_AdHocReviewCycleID">
    <vt:i4>1300747986</vt:i4>
  </property>
  <property fmtid="{D5CDD505-2E9C-101B-9397-08002B2CF9AE}" pid="13" name="_NewReviewCycle">
    <vt:lpwstr/>
  </property>
  <property fmtid="{D5CDD505-2E9C-101B-9397-08002B2CF9AE}" pid="14" name="_EmailSubject">
    <vt:lpwstr>Treasury Consultation: Corporate Collective Investment Vehicle - tranche two [SEC=UNCLASSIFIED]</vt:lpwstr>
  </property>
  <property fmtid="{D5CDD505-2E9C-101B-9397-08002B2CF9AE}" pid="15" name="_AuthorEmail">
    <vt:lpwstr>Damir.Karamehmedovic@TREASURY.GOV.AU</vt:lpwstr>
  </property>
  <property fmtid="{D5CDD505-2E9C-101B-9397-08002B2CF9AE}" pid="16" name="_AuthorEmailDisplayName">
    <vt:lpwstr>Karamehmedovic, Damir</vt:lpwstr>
  </property>
  <property fmtid="{D5CDD505-2E9C-101B-9397-08002B2CF9AE}" pid="17" name="_PreviousAdHocReviewCycleID">
    <vt:i4>-268001968</vt:i4>
  </property>
</Properties>
</file>